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NAMI DESIGN</w:t>
      </w:r>
    </w:p>
    <w:p>
      <w:pPr>
        <w:pStyle w:val="Title"/>
      </w:pPr>
      <w:r>
        <w:t>Dịch vụ sản xuất đồ gỗ</w:t>
      </w:r>
    </w:p>
    <w:p>
      <w:pPr>
        <w:pStyle w:val="Subtitle"/>
      </w:pPr>
      <w:r>
        <w:t>Sản xuất theo kích thước và lắp đặt cho nhà ở và doanh nghiệp SME</w:t>
      </w:r>
    </w:p>
    <w:p>
      <w:r>
        <w:rPr>
          <w:b w:val="0"/>
        </w:rPr>
        <w:t>NAMI tổ chức khảo sát, triển khai bản vẽ sản xuất, lựa chọn vật liệu, gia công và lắp đặt đồ gỗ theo nhu cầu sử dụng. Anh/Chị xác nhận hạng mục, kích thước, mẫu và ngân sách trước sản xuất; nhận sản phẩm cùng hồ sơ nghiệm thu, hướng dẫn sử dụng và điều kiện bảo hành.</w:t>
      </w:r>
    </w:p>
    <w:p>
      <w:pPr>
        <w:pStyle w:val="Heading2"/>
      </w:pPr>
      <w:r>
        <w:t>Các lựa chọn của khách hàng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24"/>
        <w:gridCol w:w="7988"/>
      </w:tblGrid>
      <w:tr>
        <w:trPr>
          <w:cantSplit/>
          <w:tblHeader/>
        </w:trPr>
        <w:tc>
          <w:tcPr>
            <w:tcW w:type="dxa" w:w="2324"/>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Lựa chọn</w:t>
            </w:r>
          </w:p>
        </w:tc>
        <w:tc>
          <w:tcPr>
            <w:tcW w:type="dxa" w:w="798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Cách xác định</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Phạm vi đặt hàng</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Theo hạng mục hoặc đồng bộ một không gian; mỗi sản phẩm có mã và vị trí riêng.</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Mức hoàn thiện</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A Thực dụng, B Cân bằng, C Nâng cao. Có thể phối hợp các mức theo từng hạng mục.</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Căn cứ sản xuất</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Bản vẽ đo thực tế, danh mục vật liệu và phụ kiện đã được duyệt.</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Căn cứ giá</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Khối lượng, quy cách, mức hoàn thiện, vận chuyển và điều kiện lắp đặt.</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Đầu mối thực hiện</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NAMI điều phối sản xuất và lắp đặt theo phạm vi hợp đồng; xưởng và trách nhiệm liên quan được xác định theo đơn hàng.</w:t>
            </w:r>
          </w:p>
        </w:tc>
      </w:tr>
    </w:tbl>
    <w:p>
      <w:pPr>
        <w:spacing w:after="0"/>
      </w:pPr>
    </w:p>
    <w:p>
      <w:pPr>
        <w:pStyle w:val="Heading2"/>
      </w:pPr>
      <w:r>
        <w:t>Bốn điều rõ trước sản xuất</w:t>
      </w:r>
    </w:p>
    <w:p>
      <w:r>
        <w:rPr>
          <w:b w:val="0"/>
        </w:rPr>
        <w:t>Hạng mục và công năng; kích thước và điều kiện lắp đặt; cốt ván, bề mặt và phụ kiện; tổng giá cùng các mốc bàn giao. Các mức A/B/C đều có kiểm tra kỹ thuật, nguồn vật liệu và nghiệm thu lắp đặt.</w:t>
      </w:r>
    </w:p>
    <w:p>
      <w:r>
        <w:rPr>
          <w:b w:val="0"/>
          <w:sz w:val="18"/>
        </w:rPr>
        <w:t>Tài liệu gồm 14 mô đun để Anh/Chị biết mình mua gì, cách theo dõi chất lượng và việc cần chuẩn bị. Phạm vi, đơn giá, ngày hoàn thành và thời hạn bảo hành được chốt riêng trong báo giá, hợp đồng và phụ lục của đơn hàng.</w:t>
      </w:r>
    </w:p>
    <w:p>
      <w:r>
        <w:br w:type="page"/>
      </w:r>
    </w:p>
    <w:p>
      <w:pPr>
        <w:keepNext/>
        <w:spacing w:before="220"/>
      </w:pPr>
      <w:r>
        <w:rPr>
          <w:b/>
          <w:sz w:val="18"/>
        </w:rPr>
        <w:t>MÔ ĐUN 01</w:t>
      </w:r>
    </w:p>
    <w:p>
      <w:pPr>
        <w:pStyle w:val="Heading1"/>
      </w:pPr>
      <w:r>
        <w:t>Đồ gỗ được làm theo nhu cầu sử dụng</w:t>
      </w:r>
    </w:p>
    <w:p>
      <w:r>
        <w:rPr>
          <w:b w:val="0"/>
        </w:rPr>
        <w:t>Dịch vụ phù hợp khi Anh/Chị cần đồ gỗ vừa kích thước thực tế, có công năng rõ và vật liệu kiểm tra được. NAMI triển khai từ hồ sơ đã có hoặc lập bản vẽ sản xuất trong phạm vi đặt hàng; thiết kế tổng thể không gian được xác định riêng.</w:t>
      </w:r>
    </w:p>
    <w:p>
      <w:pPr>
        <w:keepNext/>
        <w:spacing w:before="220"/>
      </w:pPr>
      <w:r>
        <w:rPr>
          <w:b/>
          <w:sz w:val="18"/>
        </w:rPr>
        <w:t>MÔ ĐUN 02</w:t>
      </w:r>
    </w:p>
    <w:p>
      <w:pPr>
        <w:pStyle w:val="Heading1"/>
      </w:pPr>
      <w:r>
        <w:t>Những trường hợp phù hợp</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24"/>
        <w:gridCol w:w="7988"/>
      </w:tblGrid>
      <w:tr>
        <w:trPr>
          <w:cantSplit/>
          <w:tblHeader/>
        </w:trPr>
        <w:tc>
          <w:tcPr>
            <w:tcW w:type="dxa" w:w="2324"/>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Khách hàng</w:t>
            </w:r>
          </w:p>
        </w:tc>
        <w:tc>
          <w:tcPr>
            <w:tcW w:type="dxa" w:w="798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Nhu cầu phù hợp</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Gia đình hoàn thiện nhà</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Tủ bếp, tủ áo, giường, tủ giày, kệ và bàn theo kích thước nhà phố, biệt thự hoặc căn hộ.</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Gia đình cải tạo nhà</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Thay một cụm tủ hoặc đồng bộ một phòng; cần phối hợp với phần cũ giữ lại.</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Chủ nhà cho thuê</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Công năng vừa đủ, cấu tạo dễ sửa và phụ kiện dễ thay.</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Doanh nghiệp SME</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Bàn làm việc, tủ hồ sơ, quầy tiếp đón, kệ trưng bày và quầy dịch vụ theo mặt bằng sử dụng.</w:t>
            </w:r>
          </w:p>
        </w:tc>
      </w:tr>
    </w:tbl>
    <w:p>
      <w:pPr>
        <w:spacing w:after="0"/>
      </w:pPr>
    </w:p>
    <w:p>
      <w:pPr>
        <w:keepNext/>
        <w:spacing w:before="220"/>
      </w:pPr>
      <w:r>
        <w:rPr>
          <w:b/>
          <w:sz w:val="18"/>
        </w:rPr>
        <w:t>MÔ ĐUN 03</w:t>
      </w:r>
    </w:p>
    <w:p>
      <w:pPr>
        <w:pStyle w:val="Heading1"/>
      </w:pPr>
      <w:r>
        <w:t>Các vấn đề cần giải quyết</w:t>
      </w:r>
    </w:p>
    <w:p>
      <w:r>
        <w:rPr>
          <w:b w:val="0"/>
        </w:rPr>
        <w:t>Đồ lắp không vừa; bề mặt đẹp nhưng cốt ván và phụ kiện chưa rõ; giá tăng vì thiếu hạng mục; ngày giao không gắn với điều kiện thực hiện; khó xác định trách nhiệm khi lỗi xuất hiện. Với SME, cần thêm kế hoạch lắp theo khu vực để hạn chế gián đoạn hoạt động.</w:t>
      </w:r>
    </w:p>
    <w:p>
      <w:pPr>
        <w:keepNext/>
        <w:spacing w:before="220"/>
      </w:pPr>
      <w:r>
        <w:rPr>
          <w:b/>
          <w:sz w:val="18"/>
        </w:rPr>
        <w:t>MÔ ĐUN 04</w:t>
      </w:r>
    </w:p>
    <w:p>
      <w:pPr>
        <w:pStyle w:val="Heading1"/>
      </w:pPr>
      <w:r>
        <w:t>Kết quả khách hàng nhận được</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35"/>
        <w:gridCol w:w="7478"/>
      </w:tblGrid>
      <w:tr>
        <w:trPr>
          <w:cantSplit/>
          <w:tblHeader/>
        </w:trPr>
        <w:tc>
          <w:tcPr>
            <w:tcW w:type="dxa" w:w="2835"/>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Kết quả</w:t>
            </w:r>
          </w:p>
        </w:tc>
        <w:tc>
          <w:tcPr>
            <w:tcW w:type="dxa" w:w="747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Căn cứ kiểm tra</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Công năng và kích thước rõ</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Danh mục sản phẩm cùng bản vẽ sản xuất được duyệt.</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Vật liệu kiểm tra được</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Loại cốt, độ dày, mã bề mặt, chỉ cạnh và mã phụ kiện.</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Giá theo phạm vi cụ thể</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Bảng khối lượng, quy cách và các khoản tính riêng.</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Biết thời điểm giao lắp</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Tiến độ cơ sở và ngày khách cần xác nhận từng quyết định.</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Sản phẩm sử dụng được</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Kiểm tra lắp đặt, vận hành và danh sách tồn tại.</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Có căn cứ hậu mãi</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Biên bản bàn giao, hướng dẫn sử dụng và điều kiện bảo hành.</w:t>
            </w:r>
          </w:p>
        </w:tc>
      </w:tr>
    </w:tbl>
    <w:p>
      <w:pPr>
        <w:spacing w:after="0"/>
      </w:pPr>
    </w:p>
    <w:p>
      <w:r>
        <w:br w:type="page"/>
      </w:r>
    </w:p>
    <w:p>
      <w:pPr>
        <w:keepNext/>
        <w:spacing w:before="220"/>
      </w:pPr>
      <w:r>
        <w:rPr>
          <w:b/>
          <w:sz w:val="18"/>
        </w:rPr>
        <w:t>MÔ ĐUN 05</w:t>
      </w:r>
    </w:p>
    <w:p>
      <w:pPr>
        <w:pStyle w:val="Heading1"/>
      </w:pPr>
      <w:r>
        <w:t>Phạm vi công việc bao gồm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24"/>
        <w:gridCol w:w="7988"/>
      </w:tblGrid>
      <w:tr>
        <w:trPr>
          <w:cantSplit/>
          <w:tblHeader/>
        </w:trPr>
        <w:tc>
          <w:tcPr>
            <w:tcW w:type="dxa" w:w="2324"/>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Công việc</w:t>
            </w:r>
          </w:p>
        </w:tc>
        <w:tc>
          <w:tcPr>
            <w:tcW w:type="dxa" w:w="798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Đầu ra trong phạm vi đơn hàng</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Khảo sát và đo</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Kích thước, cao độ, điểm điện nước, nền tường và lối vận chuyển tại vị trí lắp.</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Bản vẽ sản xuất</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Mặt bằng, mặt đứng, kích thước, chia khoang, chiều mở, chi tiết liên kết và giao diện thiết bị.</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Chốt vật liệu và giá</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Danh mục cốt ván, bề mặt, cạnh, phụ kiện; khối lượng và quy cách tính tiền.</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Gia công</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Cắt, hoàn thiện cạnh, gia công liên kết, hoàn thiện bề mặt và lắp thử khi cần.</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Giao và lắp</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Đóng gói, vận chuyển, lắp đặt, cân chỉnh và bảo vệ khu vực làm việc theo báo giá.</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Bàn giao</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Kiểm tra sử dụng, xử lý tồn tại, vệ sinh phần thi công và bàn giao hồ sơ.</w:t>
            </w:r>
          </w:p>
        </w:tc>
      </w:tr>
    </w:tbl>
    <w:p>
      <w:pPr>
        <w:spacing w:after="0"/>
      </w:pPr>
    </w:p>
    <w:p>
      <w:r>
        <w:rPr>
          <w:b w:val="0"/>
        </w:rPr>
        <w:t>Mỗi sản phẩm phải có dòng riêng trong báo giá. Tủ bếp trên, tủ bếp dưới, tủ cao, đảo bếp, mặt đá, kính bếp và thiết bị được phân biệt để tránh hiểu nhầm là một gói mặc định.</w:t>
      </w:r>
    </w:p>
    <w:p>
      <w:pPr>
        <w:keepNext/>
        <w:spacing w:before="220"/>
      </w:pPr>
      <w:r>
        <w:rPr>
          <w:b/>
          <w:sz w:val="18"/>
        </w:rPr>
        <w:t>MÔ ĐUN 06</w:t>
      </w:r>
    </w:p>
    <w:p>
      <w:pPr>
        <w:pStyle w:val="Heading1"/>
      </w:pPr>
      <w:r>
        <w:t>Vật liệu và ba mức hoàn thiện</w:t>
      </w:r>
    </w:p>
    <w:p>
      <w:pPr>
        <w:pStyle w:val="Heading2"/>
      </w:pPr>
      <w:r>
        <w:t>Nền kỹ thuật dùng chung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24"/>
        <w:gridCol w:w="7988"/>
      </w:tblGrid>
      <w:tr>
        <w:trPr>
          <w:cantSplit/>
          <w:tblHeader/>
        </w:trPr>
        <w:tc>
          <w:tcPr>
            <w:tcW w:type="dxa" w:w="2324"/>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Thành phần</w:t>
            </w:r>
          </w:p>
        </w:tc>
        <w:tc>
          <w:tcPr>
            <w:tcW w:type="dxa" w:w="798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Yêu cầu xác định trước sản xuất</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Cốt và độ dày</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Ghi riêng thân, cánh, đợt và hậu. Chọn theo môi trường, kích thước, nhịp đợt và tải sử dụng; màu lõi không thay cho tên sản phẩm.</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Cạnh và lỗ gia công</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Ghi vật liệu, độ dày chỉ cạnh và cách xử lý cạnh cắt, lỗ khoan hoặc vị trí gần nước theo cấu tạo.</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Liên kết và neo giữ</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Xác định nền tường, phương án cố định tủ treo/tủ cao và vị trí tránh đường điện nước.</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Phụ kiện</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Ghi hãng, mã, số lượng, tải và điều kiện lắp. Số bản lề theo kích thước, khối lượng cánh và hướng dẫn hãng.</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Sử dụng an toàn</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Kiểm tra góc cạnh, hành trình mở, ổn định và va chạm với đồ hoặc thiết bị xung quanh.</w:t>
            </w:r>
          </w:p>
        </w:tc>
      </w:tr>
    </w:tbl>
    <w:p>
      <w:pPr>
        <w:spacing w:after="0"/>
      </w:pPr>
    </w:p>
    <w:p>
      <w:r>
        <w:rPr>
          <w:b w:val="0"/>
          <w:sz w:val="18"/>
        </w:rPr>
        <w:t>Mọi mức đều phải phù hợp môi trường sử dụng. Khu dưới chậu rửa cần xử lý nguy cơ rò nước và chọn cấu tạo riêng. Với MDF chống ẩm, phạm vi sử dụng theo thông số sản phẩm; không suy diễn thành cam kết chống ngâm nước.</w:t>
      </w:r>
    </w:p>
    <w:p>
      <w:r>
        <w:br w:type="page"/>
      </w:r>
    </w:p>
    <w:p>
      <w:pPr>
        <w:pStyle w:val="Heading2"/>
      </w:pPr>
      <w:r>
        <w:t>Lựa chọn cốt vật liệu</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24"/>
        <w:gridCol w:w="7988"/>
      </w:tblGrid>
      <w:tr>
        <w:trPr>
          <w:cantSplit/>
          <w:tblHeader/>
        </w:trPr>
        <w:tc>
          <w:tcPr>
            <w:tcW w:type="dxa" w:w="2324"/>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Nhóm vật liệu</w:t>
            </w:r>
          </w:p>
        </w:tc>
        <w:tc>
          <w:tcPr>
            <w:tcW w:type="dxa" w:w="798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Cách chọn và đối chiếu</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MDF phủ bề mặt</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Xác định loại tiêu chuẩn hay chống ẩm, nhà cung cấp, độ dày và mã bề mặt. An Cường hoặc nguồn tương đương chỉ được dùng sau khi chốt thông số.</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Ván dăm phủ bề mặt</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Có thể lựa chọn cho cấu tạo phù hợp; ghi rõ loại ván, điều kiện sử dụng và liên kết. Không thay cho MDF nếu chưa được duyệt.</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Plywood hoặc cốt khác</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Ghi cấu tạo, cấp chất lượng, đặc tính keo và tài liệu sản phẩm. Không mặc định mọi plywood có khả năng chịu nước như nhau.</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Gỗ tự nhiên</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Xác định loài gỗ, phần gỗ sử dụng, độ ẩm mục tiêu, cấu tạo và hệ hoàn thiện; mẫu thật được chốt riêng.</w:t>
            </w:r>
          </w:p>
        </w:tc>
      </w:tr>
    </w:tbl>
    <w:p>
      <w:pPr>
        <w:spacing w:after="0"/>
      </w:pPr>
    </w:p>
    <w:p>
      <w:pPr>
        <w:pStyle w:val="Heading2"/>
      </w:pPr>
      <w:r>
        <w:t>Ba mức hoàn thiện A B C</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14"/>
        <w:gridCol w:w="2829"/>
        <w:gridCol w:w="2835"/>
        <w:gridCol w:w="2835"/>
      </w:tblGrid>
      <w:tr>
        <w:trPr>
          <w:cantSplit/>
          <w:tblHeader/>
        </w:trPr>
        <w:tc>
          <w:tcPr>
            <w:tcW w:type="dxa" w:w="1814"/>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Tiêu chí</w:t>
            </w:r>
          </w:p>
        </w:tc>
        <w:tc>
          <w:tcPr>
            <w:tcW w:type="dxa" w:w="2829"/>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A Thực dụng</w:t>
            </w:r>
          </w:p>
        </w:tc>
        <w:tc>
          <w:tcPr>
            <w:tcW w:type="dxa" w:w="2835"/>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B Cân bằng</w:t>
            </w:r>
          </w:p>
        </w:tc>
        <w:tc>
          <w:tcPr>
            <w:tcW w:type="dxa" w:w="2835"/>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C Nâng cao</w:t>
            </w:r>
          </w:p>
        </w:tc>
      </w:tr>
      <w:tr>
        <w:trPr>
          <w:cantSplit/>
        </w:trPr>
        <w:tc>
          <w:tcPr>
            <w:tcW w:type="dxa" w:w="181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Phù hợp</w:t>
            </w:r>
          </w:p>
        </w:tc>
        <w:tc>
          <w:tcPr>
            <w:tcW w:type="dxa" w:w="2829"/>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Nhà cho thuê, văn phòng, nhu cầu cơ bản.</w:t>
            </w:r>
          </w:p>
        </w:tc>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Nhà ở và SME cần đồng bộ công năng, thẩm mỹ.</w:t>
            </w:r>
          </w:p>
        </w:tc>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Khu vực cần trải nghiệm hoặc chi tiết riêng.</w:t>
            </w:r>
          </w:p>
        </w:tc>
      </w:tr>
      <w:tr>
        <w:trPr>
          <w:cantSplit/>
        </w:trPr>
        <w:tc>
          <w:tcPr>
            <w:tcW w:type="dxa" w:w="181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Bề mặt</w:t>
            </w:r>
          </w:p>
        </w:tc>
        <w:tc>
          <w:tcPr>
            <w:tcW w:type="dxa" w:w="2829"/>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Melamine màu và vân phổ biến theo mẫu.</w:t>
            </w:r>
          </w:p>
        </w:tc>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Melamine dòng chọn; laminate tại vị trí đã chốt.</w:t>
            </w:r>
          </w:p>
        </w:tc>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Laminate, acrylic, veneer hoặc sơn theo hồ sơ và mẫu.</w:t>
            </w:r>
          </w:p>
        </w:tc>
      </w:tr>
      <w:tr>
        <w:trPr>
          <w:cantSplit/>
        </w:trPr>
        <w:tc>
          <w:tcPr>
            <w:tcW w:type="dxa" w:w="181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Cấu tạo</w:t>
            </w:r>
          </w:p>
        </w:tc>
        <w:tc>
          <w:tcPr>
            <w:tcW w:type="dxa" w:w="2829"/>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Dáng phẳng, khoang hợp lý, hạn chế chi tiết khó thay.</w:t>
            </w:r>
          </w:p>
        </w:tc>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Chia khoang và phối bề mặt đồng bộ.</w:t>
            </w:r>
          </w:p>
        </w:tc>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Chi tiết đặc biệt, cánh hoặc cấu tạo riêng khi khả thi.</w:t>
            </w:r>
          </w:p>
        </w:tc>
      </w:tr>
      <w:tr>
        <w:trPr>
          <w:cantSplit/>
        </w:trPr>
        <w:tc>
          <w:tcPr>
            <w:tcW w:type="dxa" w:w="181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Phụ kiện</w:t>
            </w:r>
          </w:p>
        </w:tc>
        <w:tc>
          <w:tcPr>
            <w:tcW w:type="dxa" w:w="2829"/>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Mã cơ bản phù hợp tải và công năng.</w:t>
            </w:r>
          </w:p>
        </w:tc>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Mã có tiện ích bổ sung theo danh mục.</w:t>
            </w:r>
          </w:p>
        </w:tc>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Mã nâng cấp theo nhu cầu; không mặc định mọi tiện ích.</w:t>
            </w:r>
          </w:p>
        </w:tc>
      </w:tr>
      <w:tr>
        <w:trPr>
          <w:cantSplit/>
        </w:trPr>
        <w:tc>
          <w:tcPr>
            <w:tcW w:type="dxa" w:w="181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Chi phí</w:t>
            </w:r>
          </w:p>
        </w:tc>
        <w:tc>
          <w:tcPr>
            <w:tcW w:type="dxa" w:w="2829"/>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Theo cấu hình và khối lượng được chốt.</w:t>
            </w:r>
          </w:p>
        </w:tc>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Chênh lệch được thể hiện từng dòng.</w:t>
            </w:r>
          </w:p>
        </w:tc>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Tách rõ vật liệu, phụ kiện và gia công đặc biệt.</w:t>
            </w:r>
          </w:p>
        </w:tc>
      </w:tr>
    </w:tbl>
    <w:p>
      <w:pPr>
        <w:spacing w:after="0"/>
      </w:pPr>
    </w:p>
    <w:p>
      <w:r>
        <w:rPr>
          <w:b w:val="0"/>
        </w:rPr>
        <w:t>Mức A/B/C phân biệt lựa chọn hoàn thiện, phụ kiện và độ phức tạp. Loại cốt phù hợp và yêu cầu lắp đặt được chọn theo vị trí sử dụng ở cả ba mức. Một thương hiệu có nhiều dòng sản phẩm; tên hãng chưa đủ để xác định giá hoặc chất lượng.</w:t>
      </w:r>
    </w:p>
    <w:p>
      <w:pPr>
        <w:pStyle w:val="Heading2"/>
      </w:pPr>
      <w:r>
        <w:t>Danh mục duyệt vật liệu</w:t>
      </w:r>
    </w:p>
    <w:p>
      <w:r>
        <w:rPr>
          <w:b w:val="0"/>
        </w:rPr>
        <w:t>Mỗi hạng mục ghi đủ: mã sản phẩm và vị trí; kích thước; cốt và độ dày từng bộ phận; mã bề mặt và chiều vân; cạnh và lỗ gia công; phụ kiện và số lượng; mẫu duyệt; giá và điều kiện thay thế. Với mặt đá, kính, đèn hoặc thiết bị tích hợp, cần thêm kích thước và đơn vị phụ trách giao diện.</w:t>
      </w:r>
    </w:p>
    <w:p>
      <w:r>
        <w:rPr>
          <w:b w:val="0"/>
          <w:sz w:val="18"/>
        </w:rPr>
        <w:t>Mẫu nhỏ và ảnh có thể thể hiện màu khác dưới ánh sáng thực tế. Bề mặt gỗ tự nhiên, veneer hoặc sơn cần thống nhất phạm vi khác biệt được chấp nhận bằng mẫu trước khi sản xuất.</w:t>
      </w:r>
    </w:p>
    <w:p>
      <w:r>
        <w:rPr>
          <w:b w:val="0"/>
          <w:sz w:val="18"/>
        </w:rPr>
        <w:t>Tham chiếu kỹ thuật: danh mục vật liệu tại ancuong.com/melamine/van-mdf-phu-melamine.html; hướng dẫn số lượng bản lề tại ea.blum.com/en/number-of-hinges/. Áp dụng tài liệu của đúng mã được chọn.</w:t>
      </w:r>
    </w:p>
    <w:p>
      <w:r>
        <w:br w:type="page"/>
      </w:r>
    </w:p>
    <w:p>
      <w:pPr>
        <w:keepNext/>
        <w:spacing w:before="220"/>
      </w:pPr>
      <w:r>
        <w:rPr>
          <w:b/>
          <w:sz w:val="18"/>
        </w:rPr>
        <w:t>MÔ ĐUN 07</w:t>
      </w:r>
    </w:p>
    <w:p>
      <w:pPr>
        <w:pStyle w:val="Heading1"/>
      </w:pPr>
      <w:r>
        <w:t>Các phần được xác định riêng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24"/>
        <w:gridCol w:w="7988"/>
      </w:tblGrid>
      <w:tr>
        <w:trPr>
          <w:cantSplit/>
          <w:tblHeader/>
        </w:trPr>
        <w:tc>
          <w:tcPr>
            <w:tcW w:type="dxa" w:w="2324"/>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Nhóm</w:t>
            </w:r>
          </w:p>
        </w:tc>
        <w:tc>
          <w:tcPr>
            <w:tcW w:type="dxa" w:w="798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Phạm vi cần dòng báo giá riêng</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Thiết kế không gian</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Phương án tổng thể, phối cảnh, ánh sáng và hồ sơ ngoài bản vẽ sản xuất của đồ đặt hàng.</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Xây dựng và hệ thống</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Tháo dỡ, sửa nền tường, chống thấm, điện nước, thông gió và xử lý mối mọt hiện hữu.</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Vật liệu và thiết bị khác</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Đá, kính, kim loại, đèn, nguồn điện, chậu vòi, thiết bị bếp, nệm, rèm và đồ rời.</w:t>
            </w:r>
          </w:p>
        </w:tc>
      </w:tr>
      <w:tr>
        <w:trPr>
          <w:cantSplit/>
        </w:trPr>
        <w:tc>
          <w:tcPr>
            <w:tcW w:type="dxa" w:w="232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Điều kiện đặc biệt</w:t>
            </w:r>
          </w:p>
        </w:tc>
        <w:tc>
          <w:tcPr>
            <w:tcW w:type="dxa" w:w="798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Cẩu chuyển, đi thang bộ, giao ngoài giờ, ký quỹ, bãi xe hoặc mặt bằng hạn chế.</w:t>
            </w:r>
          </w:p>
        </w:tc>
      </w:tr>
      <w:tr>
        <w:trPr>
          <w:cantSplit/>
        </w:trPr>
        <w:tc>
          <w:tcPr>
            <w:tcW w:type="dxa" w:w="232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Đồ và hồ sơ của khách</w:t>
            </w:r>
          </w:p>
        </w:tc>
        <w:tc>
          <w:tcPr>
            <w:tcW w:type="dxa" w:w="798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Di chuyển đồ cũ, tái sử dụng phụ kiện; kiểm tra bổ sung bản vẽ hoặc thiết bị do khách cung cấp.</w:t>
            </w:r>
          </w:p>
        </w:tc>
      </w:tr>
    </w:tbl>
    <w:p>
      <w:pPr>
        <w:spacing w:after="0"/>
      </w:pPr>
    </w:p>
    <w:p>
      <w:r>
        <w:rPr>
          <w:b w:val="0"/>
        </w:rPr>
        <w:t>Báo giá xác định rõ vận chuyển và lắp đặt thông thường đã gồm hay tính riêng. Khách có sẵn bản vẽ vẫn cần kiểm tra khả năng gia công, đo thực tế và thống nhất trách nhiệm trước khi sản xuất.</w:t>
      </w:r>
    </w:p>
    <w:p>
      <w:pPr>
        <w:keepNext/>
        <w:spacing w:before="220"/>
      </w:pPr>
      <w:r>
        <w:rPr>
          <w:b/>
          <w:sz w:val="18"/>
        </w:rPr>
        <w:t>MÔ ĐUN 08</w:t>
      </w:r>
    </w:p>
    <w:p>
      <w:pPr>
        <w:pStyle w:val="Heading1"/>
      </w:pPr>
      <w:r>
        <w:t>Năm cổng kiểm soát chất lượng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14"/>
        <w:gridCol w:w="5386"/>
        <w:gridCol w:w="3112"/>
      </w:tblGrid>
      <w:tr>
        <w:trPr>
          <w:cantSplit/>
          <w:tblHeader/>
        </w:trPr>
        <w:tc>
          <w:tcPr>
            <w:tcW w:type="dxa" w:w="1814"/>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Mốc</w:t>
            </w:r>
          </w:p>
        </w:tc>
        <w:tc>
          <w:tcPr>
            <w:tcW w:type="dxa" w:w="5386"/>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Điều kiện chuyển bước</w:t>
            </w:r>
          </w:p>
        </w:tc>
        <w:tc>
          <w:tcPr>
            <w:tcW w:type="dxa" w:w="3112"/>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Bằng chứng</w:t>
            </w:r>
          </w:p>
        </w:tc>
      </w:tr>
      <w:tr>
        <w:trPr>
          <w:cantSplit/>
        </w:trPr>
        <w:tc>
          <w:tcPr>
            <w:tcW w:type="dxa" w:w="181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1 Khảo sát</w:t>
            </w:r>
          </w:p>
        </w:tc>
        <w:tc>
          <w:tcPr>
            <w:tcW w:type="dxa" w:w="5386"/>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Đã rõ kích thước, nền, điểm chờ và đường vận chuyển.</w:t>
            </w:r>
          </w:p>
        </w:tc>
        <w:tc>
          <w:tcPr>
            <w:tcW w:type="dxa" w:w="3112"/>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Phiếu đo và ảnh hiện trạng.</w:t>
            </w:r>
          </w:p>
        </w:tc>
      </w:tr>
      <w:tr>
        <w:trPr>
          <w:cantSplit/>
        </w:trPr>
        <w:tc>
          <w:tcPr>
            <w:tcW w:type="dxa" w:w="181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2 Trước sản xuất</w:t>
            </w:r>
          </w:p>
        </w:tc>
        <w:tc>
          <w:tcPr>
            <w:tcW w:type="dxa" w:w="5386"/>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Bản vẽ, mẫu, phụ kiện và giá được xác nhận cùng phiên bản.</w:t>
            </w:r>
          </w:p>
        </w:tc>
        <w:tc>
          <w:tcPr>
            <w:tcW w:type="dxa" w:w="3112"/>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Hồ sơ duyệt và mẫu tham chiếu.</w:t>
            </w:r>
          </w:p>
        </w:tc>
      </w:tr>
      <w:tr>
        <w:trPr>
          <w:cantSplit/>
        </w:trPr>
        <w:tc>
          <w:tcPr>
            <w:tcW w:type="dxa" w:w="181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3 Tại xưởng</w:t>
            </w:r>
          </w:p>
        </w:tc>
        <w:tc>
          <w:tcPr>
            <w:tcW w:type="dxa" w:w="5386"/>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Đối chiếu vật liệu, cạnh, liên kết, kích thước; lắp thử phần cần thiết.</w:t>
            </w:r>
          </w:p>
        </w:tc>
        <w:tc>
          <w:tcPr>
            <w:tcW w:type="dxa" w:w="3112"/>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Ảnh, nhãn hoặc phiếu kiểm tra theo lô.</w:t>
            </w:r>
          </w:p>
        </w:tc>
      </w:tr>
      <w:tr>
        <w:trPr>
          <w:cantSplit/>
        </w:trPr>
        <w:tc>
          <w:tcPr>
            <w:tcW w:type="dxa" w:w="1814"/>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4 Lắp đặt</w:t>
            </w:r>
          </w:p>
        </w:tc>
        <w:tc>
          <w:tcPr>
            <w:tcW w:type="dxa" w:w="5386"/>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Kiểm neo giữ, cao độ, khe, chiều mở, bảo vệ và giao diện thiết bị.</w:t>
            </w:r>
          </w:p>
        </w:tc>
        <w:tc>
          <w:tcPr>
            <w:tcW w:type="dxa" w:w="3112"/>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Ảnh lắp và phiếu kiểm tra.</w:t>
            </w:r>
          </w:p>
        </w:tc>
      </w:tr>
      <w:tr>
        <w:trPr>
          <w:cantSplit/>
        </w:trPr>
        <w:tc>
          <w:tcPr>
            <w:tcW w:type="dxa" w:w="1814"/>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5 Bàn giao</w:t>
            </w:r>
          </w:p>
        </w:tc>
        <w:tc>
          <w:tcPr>
            <w:tcW w:type="dxa" w:w="5386"/>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Đối chiếu đủ sản phẩm; kiểm vận hành và chốt tồn tại.</w:t>
            </w:r>
          </w:p>
        </w:tc>
        <w:tc>
          <w:tcPr>
            <w:tcW w:type="dxa" w:w="3112"/>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Biên bản, người xử lý và hạn sửa.</w:t>
            </w:r>
          </w:p>
        </w:tc>
      </w:tr>
    </w:tbl>
    <w:p>
      <w:pPr>
        <w:spacing w:after="0"/>
      </w:pPr>
    </w:p>
    <w:p>
      <w:r>
        <w:rPr>
          <w:b w:val="0"/>
        </w:rPr>
        <w:t>Toàn bộ hạng mục phải có hồ sơ duyệt trước gia công. Khi bàn giao, kiểm vận hành từng cánh và ngăn kéo trong điều kiện sử dụng đã chốt. Các chỉ tiêu cần đo như kích thước, khe hở, độ phẳng và tải phải được ghi trong bản vẽ hoặc phụ lục nghiệm thu; không dùng một ngưỡng chung cho mọi loại đồ gỗ.</w:t>
      </w:r>
    </w:p>
    <w:p>
      <w:r>
        <w:br w:type="page"/>
      </w:r>
    </w:p>
    <w:p>
      <w:pPr>
        <w:keepNext/>
        <w:spacing w:before="220"/>
      </w:pPr>
      <w:r>
        <w:rPr>
          <w:b/>
          <w:sz w:val="18"/>
        </w:rPr>
        <w:t>MÔ ĐUN 09</w:t>
      </w:r>
    </w:p>
    <w:p>
      <w:pPr>
        <w:pStyle w:val="Heading1"/>
      </w:pPr>
      <w:r>
        <w:t>Quy trình sáu bước</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4535"/>
        <w:gridCol w:w="4020"/>
      </w:tblGrid>
      <w:tr>
        <w:trPr>
          <w:cantSplit/>
          <w:tblHeader/>
        </w:trPr>
        <w:tc>
          <w:tcPr>
            <w:tcW w:type="dxa" w:w="1757"/>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Bước</w:t>
            </w:r>
          </w:p>
        </w:tc>
        <w:tc>
          <w:tcPr>
            <w:tcW w:type="dxa" w:w="4535"/>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NAMI thực hiện</w:t>
            </w:r>
          </w:p>
        </w:tc>
        <w:tc>
          <w:tcPr>
            <w:tcW w:type="dxa" w:w="4020"/>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Khách hàng xác nhận</w:t>
            </w:r>
          </w:p>
        </w:tc>
      </w:tr>
      <w:tr>
        <w:trPr>
          <w:cantSplit/>
        </w:trPr>
        <w:tc>
          <w:tcPr>
            <w:tcW w:type="dxa" w:w="1757"/>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1 Tiếp nhận</w:t>
            </w:r>
          </w:p>
        </w:tc>
        <w:tc>
          <w:tcPr>
            <w:tcW w:type="dxa" w:w="45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Rà hạng mục, nhu cầu, ngân sách và ngày cần dùng.</w:t>
            </w:r>
          </w:p>
        </w:tc>
        <w:tc>
          <w:tcPr>
            <w:tcW w:type="dxa" w:w="4020"/>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Danh sách ưu tiên và đầu mối.</w:t>
            </w:r>
          </w:p>
        </w:tc>
      </w:tr>
      <w:tr>
        <w:trPr>
          <w:cantSplit/>
        </w:trPr>
        <w:tc>
          <w:tcPr>
            <w:tcW w:type="dxa" w:w="1757"/>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2 Khảo sát</w:t>
            </w:r>
          </w:p>
        </w:tc>
        <w:tc>
          <w:tcPr>
            <w:tcW w:type="dxa" w:w="45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Đo hiện trạng, kiểm điều kiện lắp, rà bản vẽ đã có.</w:t>
            </w:r>
          </w:p>
        </w:tc>
        <w:tc>
          <w:tcPr>
            <w:tcW w:type="dxa" w:w="4020"/>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Phần giữ lại và điều kiện mặt bằng.</w:t>
            </w:r>
          </w:p>
        </w:tc>
      </w:tr>
      <w:tr>
        <w:trPr>
          <w:cantSplit/>
        </w:trPr>
        <w:tc>
          <w:tcPr>
            <w:tcW w:type="dxa" w:w="1757"/>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3 Giải pháp và giá</w:t>
            </w:r>
          </w:p>
        </w:tc>
        <w:tc>
          <w:tcPr>
            <w:tcW w:type="dxa" w:w="45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Chọn cấu hình, triển khai bản vẽ và bảng khối lượng.</w:t>
            </w:r>
          </w:p>
        </w:tc>
        <w:tc>
          <w:tcPr>
            <w:tcW w:type="dxa" w:w="4020"/>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Công năng, mẫu, giá và loại trừ.</w:t>
            </w:r>
          </w:p>
        </w:tc>
      </w:tr>
      <w:tr>
        <w:trPr>
          <w:cantSplit/>
        </w:trPr>
        <w:tc>
          <w:tcPr>
            <w:tcW w:type="dxa" w:w="1757"/>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4 Khóa hồ sơ</w:t>
            </w:r>
          </w:p>
        </w:tc>
        <w:tc>
          <w:tcPr>
            <w:tcW w:type="dxa" w:w="45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Chốt bản vẽ, vật liệu, phụ kiện, tiến độ và thanh toán.</w:t>
            </w:r>
          </w:p>
        </w:tc>
        <w:tc>
          <w:tcPr>
            <w:tcW w:type="dxa" w:w="4020"/>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Phiên bản được phép sản xuất.</w:t>
            </w:r>
          </w:p>
        </w:tc>
      </w:tr>
      <w:tr>
        <w:trPr>
          <w:cantSplit/>
        </w:trPr>
        <w:tc>
          <w:tcPr>
            <w:tcW w:type="dxa" w:w="1757"/>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5 Sản xuất và lắp</w:t>
            </w:r>
          </w:p>
        </w:tc>
        <w:tc>
          <w:tcPr>
            <w:tcW w:type="dxa" w:w="45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Gia công, kiểm tra, đóng gói, giao lắp và cân chỉnh.</w:t>
            </w:r>
          </w:p>
        </w:tc>
        <w:tc>
          <w:tcPr>
            <w:tcW w:type="dxa" w:w="4020"/>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Lịch tiếp nhận và thay đổi nếu có.</w:t>
            </w:r>
          </w:p>
        </w:tc>
      </w:tr>
      <w:tr>
        <w:trPr>
          <w:cantSplit/>
        </w:trPr>
        <w:tc>
          <w:tcPr>
            <w:tcW w:type="dxa" w:w="1757"/>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6 Bàn giao</w:t>
            </w:r>
          </w:p>
        </w:tc>
        <w:tc>
          <w:tcPr>
            <w:tcW w:type="dxa" w:w="45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Kiểm sử dụng, xử lý tồn tại và bàn giao hồ sơ.</w:t>
            </w:r>
          </w:p>
        </w:tc>
        <w:tc>
          <w:tcPr>
            <w:tcW w:type="dxa" w:w="4020"/>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Biên bản và quyết toán.</w:t>
            </w:r>
          </w:p>
        </w:tc>
      </w:tr>
    </w:tbl>
    <w:p>
      <w:pPr>
        <w:spacing w:after="0"/>
      </w:pPr>
    </w:p>
    <w:p>
      <w:r>
        <w:rPr>
          <w:b w:val="0"/>
        </w:rPr>
        <w:t>NAMI là đầu mối điều phối với xưởng và tổ lắp theo hợp đồng. Khách phê duyệt hồ sơ qua hình thức có lưu vết; mỗi lần sửa có số phiên bản để tránh gia công theo bản cũ.</w:t>
      </w:r>
    </w:p>
    <w:p>
      <w:pPr>
        <w:keepNext/>
        <w:spacing w:before="220"/>
      </w:pPr>
      <w:r>
        <w:rPr>
          <w:b/>
          <w:sz w:val="18"/>
        </w:rPr>
        <w:t>MÔ ĐUN 10</w:t>
      </w:r>
    </w:p>
    <w:p>
      <w:pPr>
        <w:pStyle w:val="Heading1"/>
      </w:pPr>
      <w:r>
        <w:t>Phối hợp để hạn chế làm lại và chờ đợi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36"/>
        <w:gridCol w:w="3436"/>
        <w:gridCol w:w="3441"/>
      </w:tblGrid>
      <w:tr>
        <w:trPr>
          <w:cantSplit/>
          <w:tblHeader/>
        </w:trPr>
        <w:tc>
          <w:tcPr>
            <w:tcW w:type="dxa" w:w="3436"/>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Trước sản xuất</w:t>
            </w:r>
          </w:p>
        </w:tc>
        <w:tc>
          <w:tcPr>
            <w:tcW w:type="dxa" w:w="3436"/>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Trong sản xuất và lắp</w:t>
            </w:r>
          </w:p>
        </w:tc>
        <w:tc>
          <w:tcPr>
            <w:tcW w:type="dxa" w:w="3441"/>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Sau bàn giao</w:t>
            </w:r>
          </w:p>
        </w:tc>
      </w:tr>
      <w:tr>
        <w:trPr>
          <w:cantSplit/>
        </w:trPr>
        <w:tc>
          <w:tcPr>
            <w:tcW w:type="dxa" w:w="3436"/>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Cử một người có quyền duyệt; cung cấp bản vẽ và mã thiết bị; chốt số người dùng, lưu trữ và ngày cần dùng.</w:t>
            </w:r>
          </w:p>
        </w:tc>
        <w:tc>
          <w:tcPr>
            <w:tcW w:type="dxa" w:w="3436"/>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Duyệt đúng ngày trong tiến độ; báo thay đổi qua đầu mối; giữ ổn định kích thước nền tường và điểm chờ.</w:t>
            </w:r>
          </w:p>
        </w:tc>
        <w:tc>
          <w:tcPr>
            <w:tcW w:type="dxa" w:w="344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Dùng theo tải và hướng dẫn; giữ hồ sơ; báo lỗi kèm vị trí, ảnh và thời điểm phát hiện.</w:t>
            </w:r>
          </w:p>
        </w:tc>
      </w:tr>
      <w:tr>
        <w:trPr>
          <w:cantSplit/>
        </w:trPr>
        <w:tc>
          <w:tcPr>
            <w:tcW w:type="dxa" w:w="3436"/>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Hoàn tất nền tường ở vị trí đo; thống nhất thiết bị nào cần có thực tế trước đo cuối.</w:t>
            </w:r>
          </w:p>
        </w:tc>
        <w:tc>
          <w:tcPr>
            <w:tcW w:type="dxa" w:w="3436"/>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Chuẩn bị đường giao, thang máy, nguồn điện và khu vực bảo quản khô theo kế hoạch.</w:t>
            </w:r>
          </w:p>
        </w:tc>
        <w:tc>
          <w:tcPr>
            <w:tcW w:type="dxa" w:w="344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Cho phép tiếp cận khi kiểm tra hoặc sửa; ghi nhận kết quả xử lý bằng biên bản.</w:t>
            </w:r>
          </w:p>
        </w:tc>
      </w:tr>
    </w:tbl>
    <w:p>
      <w:pPr>
        <w:spacing w:after="0"/>
      </w:pPr>
    </w:p>
    <w:p>
      <w:r>
        <w:rPr>
          <w:b w:val="0"/>
        </w:rPr>
        <w:t>Với SME, chốt người duyệt kỹ thuật, người nghiệm thu và người nhận chứng từ. Lắp theo phòng hoặc khu vực khi cần duy trì hoạt động; thời gian ngừng sử dụng và chi phí ngoài giờ được xác định trước.</w:t>
      </w:r>
    </w:p>
    <w:p>
      <w:r>
        <w:rPr>
          <w:b w:val="0"/>
        </w:rPr>
        <w:t>Nếu khách hoặc bên khác sửa nền tường, đổi thiết bị hay điểm chờ sau đo, hai bên phải kiểm tra lại phần bị ảnh hưởng trước gia công hoặc lắp đặt.</w:t>
      </w:r>
    </w:p>
    <w:p>
      <w:r>
        <w:br w:type="page"/>
      </w:r>
    </w:p>
    <w:p>
      <w:pPr>
        <w:keepNext/>
        <w:spacing w:before="220"/>
      </w:pPr>
      <w:r>
        <w:rPr>
          <w:b/>
          <w:sz w:val="18"/>
        </w:rPr>
        <w:t>MÔ ĐUN 11</w:t>
      </w:r>
    </w:p>
    <w:p>
      <w:pPr>
        <w:pStyle w:val="Heading1"/>
      </w:pPr>
      <w:r>
        <w:t>Tiến độ có điều kiện và mốc cụ thể</w:t>
      </w:r>
    </w:p>
    <w:p>
      <w:r>
        <w:rPr>
          <w:b w:val="0"/>
        </w:rPr>
        <w:t>Tiến độ được tính bằng ngày làm việc, tách thời gian NAMI thực hiện và thời gian chờ xác nhận hoặc mặt bằng. Ngày bắt đầu sản xuất chỉ được khóa khi hợp đồng và tạm ứng có hiệu lực, hồ sơ đã duyệt, kích thước cuối đã kiểm tra và nguồn vật liệu được xác nhận.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35"/>
        <w:gridCol w:w="7478"/>
      </w:tblGrid>
      <w:tr>
        <w:trPr>
          <w:cantSplit/>
          <w:tblHeader/>
        </w:trPr>
        <w:tc>
          <w:tcPr>
            <w:tcW w:type="dxa" w:w="2835"/>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Mốc bắt buộc</w:t>
            </w:r>
          </w:p>
        </w:tc>
        <w:tc>
          <w:tcPr>
            <w:tcW w:type="dxa" w:w="747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Nội dung ghi trong tiến độ đơn hàng</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Khảo sát và đo cuối</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Ngày khảo sát, ngày đo chốt sau hoàn thiện nền tường.</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Duyệt hồ sơ và mẫu</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Ngày NAMI gửi, ngày khách duyệt và người có quyền quyết định.</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Sản xuất và kiểm tra</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Ngày bắt đầu, số ngày gia công, ngày kiểm tra trước đóng gói.</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Giao và lắp</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Ngày giao, số ngày lắp, khu vực được bàn giao mặt bằng.</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Nghiệm thu và xử lý tồn tại</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Ngày nghiệm thu, hạn khắc phục từng việc và ngày hoàn thành.</w:t>
            </w:r>
          </w:p>
        </w:tc>
      </w:tr>
    </w:tbl>
    <w:p>
      <w:pPr>
        <w:spacing w:after="0"/>
      </w:pPr>
    </w:p>
    <w:p>
      <w:r>
        <w:rPr>
          <w:b w:val="0"/>
        </w:rPr>
        <w:t>Mỗi cập nhật tiến độ nêu phần đã làm, việc tiếp theo, quyết định đang chờ và ngày dự kiến bị ảnh hưởng. Đổi mẫu, thiếu hàng hoặc thay đổi hiện trạng phải được đánh giá thời gian trước xác nhận; không mặc định giữ ngày giao cũ.</w:t>
      </w:r>
    </w:p>
    <w:p>
      <w:pPr>
        <w:keepNext/>
        <w:spacing w:before="220"/>
      </w:pPr>
      <w:r>
        <w:rPr>
          <w:b/>
          <w:sz w:val="18"/>
        </w:rPr>
        <w:t>MÔ ĐUN 12</w:t>
      </w:r>
    </w:p>
    <w:p>
      <w:pPr>
        <w:pStyle w:val="Heading1"/>
      </w:pPr>
      <w:r>
        <w:t>Căn cứ giá và thanh toán</w:t>
      </w:r>
    </w:p>
    <w:p>
      <w:r>
        <w:rPr>
          <w:b w:val="0"/>
        </w:rPr>
        <w:t>Giá được lập theo từng hạng mục. Đơn giá mét dài hoặc mét vuông chỉ có ý nghĩa khi đi cùng chiều cao, chiều sâu, cốt, bề mặt, hậu, số khoang và phụ kiện. Đơn hàng đồng bộ cần có tổng giá sau khi cộng các khoản đã xác định.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35"/>
        <w:gridCol w:w="7478"/>
      </w:tblGrid>
      <w:tr>
        <w:trPr>
          <w:cantSplit/>
          <w:tblHeader/>
        </w:trPr>
        <w:tc>
          <w:tcPr>
            <w:tcW w:type="dxa" w:w="2835"/>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Hạng mục</w:t>
            </w:r>
          </w:p>
        </w:tc>
        <w:tc>
          <w:tcPr>
            <w:tcW w:type="dxa" w:w="747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Cách khóa khối lượng và giá</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Tủ bếp</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Tách tủ trên, dưới, cao và đảo; ghi mét dài hay bộ, kích thước chuẩn, đá và thiết bị tính riêng.</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Tủ áo và tủ hồ sơ</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Ghi cách tính mét vuông mặt đứng hay bộ; chiều sâu, chiều cao, chia khoang, cánh, hậu và phụ kiện.</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Giường bàn quầy kệ</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Theo chiếc, bộ hoặc khối lượng thiết kế; ghi kích thước và phạm vi hoàn thiện.</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Chi phí bổ sung</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Tách vận chuyển, lắp đặc thù, tháo dỡ, gia công đặc biệt và phụ kiện tùy chọn.</w:t>
            </w:r>
          </w:p>
        </w:tc>
      </w:tr>
    </w:tbl>
    <w:p>
      <w:pPr>
        <w:spacing w:after="0"/>
      </w:pPr>
    </w:p>
    <w:p>
      <w:r>
        <w:rPr>
          <w:b w:val="0"/>
        </w:rPr>
        <w:t>Báo giá ghi tổng trước thuế, thuế áp dụng, tổng thanh toán, hiệu lực và giả định khối lượng. Hạng mục tạm tính có đơn giá hoặc cách xác định, cùng thời điểm đo lại. Chứng từ được xác định theo thông tin cá nhân hoặc pháp nhân ký hợp đồng.</w:t>
      </w:r>
    </w:p>
    <w:p>
      <w:r>
        <w:br w:type="page"/>
      </w:r>
    </w:p>
    <w:p>
      <w:pPr>
        <w:pStyle w:val="Heading2"/>
      </w:pPr>
      <w:r>
        <w:t>Thanh toán gắn với kết quả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35"/>
        <w:gridCol w:w="7478"/>
      </w:tblGrid>
      <w:tr>
        <w:trPr>
          <w:cantSplit/>
          <w:tblHeader/>
        </w:trPr>
        <w:tc>
          <w:tcPr>
            <w:tcW w:type="dxa" w:w="2835"/>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Mốc thanh toán</w:t>
            </w:r>
          </w:p>
        </w:tc>
        <w:tc>
          <w:tcPr>
            <w:tcW w:type="dxa" w:w="747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Căn cứ xác nhận</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1 Hợp đồng và chuẩn bị</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Phạm vi, hồ sơ cần hoàn thiện và điều kiện đặt vật liệu.</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2 Trước giao hàng</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Kết quả sản xuất, đối chiếu cấu hình và điều kiện giao theo hợp đồng.</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3 Lắp đặt và nghiệm thu</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Sản phẩm đã lắp, kiểm vận hành, khối lượng thực tế và tồn tại.</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4 Quyết toán</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Thay đổi đã duyệt, phần còn thanh toán và trách nhiệm xử lý tồn tại.</w:t>
            </w:r>
          </w:p>
        </w:tc>
      </w:tr>
    </w:tbl>
    <w:p>
      <w:pPr>
        <w:spacing w:after="0"/>
      </w:pPr>
    </w:p>
    <w:p>
      <w:r>
        <w:rPr>
          <w:b w:val="0"/>
        </w:rPr>
        <w:t>Tỷ lệ, số tiền và hạn từng đợt được chốt theo đơn hàng; tổng các đợt bằng 100% giá trị phải thanh toán. Khoản dự phòng của khách chỉ dùng cho phần bổ sung được xác nhận. NAMI không thực hiện phần phát sinh có tính phí khi chưa được duyệt.</w:t>
      </w:r>
    </w:p>
    <w:p>
      <w:pPr>
        <w:keepNext/>
        <w:spacing w:before="220"/>
      </w:pPr>
      <w:r>
        <w:rPr>
          <w:b/>
          <w:sz w:val="18"/>
        </w:rPr>
        <w:t>MÔ ĐUN 13</w:t>
      </w:r>
    </w:p>
    <w:p>
      <w:pPr>
        <w:pStyle w:val="Heading1"/>
      </w:pPr>
      <w:r>
        <w:t>Thay đổi và xử lý phát sinh</w:t>
      </w:r>
    </w:p>
    <w:p>
      <w:r>
        <w:rPr>
          <w:b w:val="0"/>
        </w:rPr>
        <w:t>Anh/Chị gửi yêu cầu, NAMI kiểm tra khả năng thực hiện, thông báo chênh lệch giá và ngày giao, hai bên xác nhận rồi mới cập nhật hồ sơ và sản xuất phần thay đổi.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35"/>
        <w:gridCol w:w="7478"/>
      </w:tblGrid>
      <w:tr>
        <w:trPr>
          <w:cantSplit/>
          <w:tblHeader/>
        </w:trPr>
        <w:tc>
          <w:tcPr>
            <w:tcW w:type="dxa" w:w="2835"/>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Tình huống</w:t>
            </w:r>
          </w:p>
        </w:tc>
        <w:tc>
          <w:tcPr>
            <w:tcW w:type="dxa" w:w="7478"/>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Cách đối chiếu</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Đổi trước đặt vật liệu</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Chênh lệch cấu hình và khối lượng; cập nhật mẫu và bản vẽ.</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Đổi sau đặt hoặc gia công</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Đối chiếu hàng hoàn trả/tái sử dụng, phần phải làm mới và chi phí có căn cứ.</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Hết mẫu hoặc thiếu mã</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Đề xuất lựa chọn thay thế với thông số và giá; chờ duyệt trước dùng.</w:t>
            </w:r>
          </w:p>
        </w:tc>
      </w:tr>
      <w:tr>
        <w:trPr>
          <w:cantSplit/>
        </w:trPr>
        <w:tc>
          <w:tcPr>
            <w:tcW w:type="dxa" w:w="2835"/>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Hiện trạng khác lúc đo</w:t>
            </w:r>
          </w:p>
        </w:tc>
        <w:tc>
          <w:tcPr>
            <w:tcW w:type="dxa" w:w="7478"/>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Ghi phần thay đổi, nguyên nhân, bên phụ trách và phương án sửa.</w:t>
            </w:r>
          </w:p>
        </w:tc>
      </w:tr>
      <w:tr>
        <w:trPr>
          <w:cantSplit/>
        </w:trPr>
        <w:tc>
          <w:tcPr>
            <w:tcW w:type="dxa" w:w="2835"/>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Sai hồ sơ đã duyệt do NAMI</w:t>
            </w:r>
          </w:p>
        </w:tc>
        <w:tc>
          <w:tcPr>
            <w:tcW w:type="dxa" w:w="7478"/>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NAMI khắc phục phần thuộc trách nhiệm của mình; không tính là khách nâng cấp.</w:t>
            </w:r>
          </w:p>
        </w:tc>
      </w:tr>
    </w:tbl>
    <w:p>
      <w:pPr>
        <w:spacing w:after="0"/>
      </w:pPr>
    </w:p>
    <w:p>
      <w:r>
        <w:rPr>
          <w:b w:val="0"/>
        </w:rPr>
        <w:t>Chi phí thay đổi gồm phần bổ sung trừ phần được bỏ hoặc hoàn trả theo thỏa thuận, cộng chi phí thực tế như gia công, vận chuyển và nhân công nếu có. Mỗi thay đổi có mã, bản vẽ áp dụng, số tiền và ảnh hưởng thời gian; không chỉ xác nhận bằng lời nói.</w:t>
      </w:r>
    </w:p>
    <w:p>
      <w:r>
        <w:rPr>
          <w:b w:val="0"/>
        </w:rPr>
        <w:t>Với vật liệu tự nhiên hoặc bề mặt sơn, hai bên xử lý khác biệt dựa trên mẫu và tiêu chí đã duyệt. Sản phẩm phải làm lại khi không đáp ứng hồ sơ thuộc trách nhiệm đã xác định trong hợp đồng.</w:t>
      </w:r>
    </w:p>
    <w:p>
      <w:r>
        <w:br w:type="page"/>
      </w:r>
    </w:p>
    <w:p>
      <w:pPr>
        <w:keepNext/>
        <w:spacing w:before="220"/>
      </w:pPr>
      <w:r>
        <w:rPr>
          <w:b/>
          <w:sz w:val="18"/>
        </w:rPr>
        <w:t>MÔ ĐUN 14</w:t>
      </w:r>
    </w:p>
    <w:p>
      <w:pPr>
        <w:pStyle w:val="Heading1"/>
      </w:pPr>
      <w:r>
        <w:t>Bàn giao bảo hành và bước tiếp theo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931"/>
      </w:tblGrid>
      <w:tr>
        <w:trPr>
          <w:cantSplit/>
          <w:tblHeader/>
        </w:trPr>
        <w:tc>
          <w:tcPr>
            <w:tcW w:type="dxa" w:w="2381"/>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Nội dung bàn giao</w:t>
            </w:r>
          </w:p>
        </w:tc>
        <w:tc>
          <w:tcPr>
            <w:tcW w:type="dxa" w:w="7931"/>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Khách hàng nhận được</w:t>
            </w:r>
          </w:p>
        </w:tc>
      </w:tr>
      <w:tr>
        <w:trPr>
          <w:cantSplit/>
        </w:trPr>
        <w:tc>
          <w:tcPr>
            <w:tcW w:type="dxa" w:w="238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Sản phẩm</w:t>
            </w:r>
          </w:p>
        </w:tc>
        <w:tc>
          <w:tcPr>
            <w:tcW w:type="dxa" w:w="793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Danh mục, số lượng, vị trí và cấu hình thực tế sau lắp đặt.</w:t>
            </w:r>
          </w:p>
        </w:tc>
      </w:tr>
      <w:tr>
        <w:trPr>
          <w:cantSplit/>
        </w:trPr>
        <w:tc>
          <w:tcPr>
            <w:tcW w:type="dxa" w:w="238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Nghiệm thu</w:t>
            </w:r>
          </w:p>
        </w:tc>
        <w:tc>
          <w:tcPr>
            <w:tcW w:type="dxa" w:w="793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Kiểm kích thước, hoàn thiện, liên kết và vận hành; tồn tại có người xử lý và hạn hoàn thành.</w:t>
            </w:r>
          </w:p>
        </w:tc>
      </w:tr>
      <w:tr>
        <w:trPr>
          <w:cantSplit/>
        </w:trPr>
        <w:tc>
          <w:tcPr>
            <w:tcW w:type="dxa" w:w="238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Hồ sơ</w:t>
            </w:r>
          </w:p>
        </w:tc>
        <w:tc>
          <w:tcPr>
            <w:tcW w:type="dxa" w:w="793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Bản vẽ phiên bản cuối, danh mục vật liệu và phụ kiện; phiếu hãng khi có.</w:t>
            </w:r>
          </w:p>
        </w:tc>
      </w:tr>
      <w:tr>
        <w:trPr>
          <w:cantSplit/>
        </w:trPr>
        <w:tc>
          <w:tcPr>
            <w:tcW w:type="dxa" w:w="238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Sử dụng và bảo trì</w:t>
            </w:r>
          </w:p>
        </w:tc>
        <w:tc>
          <w:tcPr>
            <w:tcW w:type="dxa" w:w="793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Cách vệ sinh, tải sử dụng, tránh nước/nhiệt theo vật liệu và cách kiểm phụ kiện.</w:t>
            </w:r>
          </w:p>
        </w:tc>
      </w:tr>
      <w:tr>
        <w:trPr>
          <w:cantSplit/>
        </w:trPr>
        <w:tc>
          <w:tcPr>
            <w:tcW w:type="dxa" w:w="238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Tài chính</w:t>
            </w:r>
          </w:p>
        </w:tc>
        <w:tc>
          <w:tcPr>
            <w:tcW w:type="dxa" w:w="793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Khối lượng thực tế, thay đổi đã duyệt và quyết toán theo hợp đồng.</w:t>
            </w:r>
          </w:p>
        </w:tc>
      </w:tr>
      <w:tr>
        <w:trPr>
          <w:cantSplit/>
        </w:trPr>
        <w:tc>
          <w:tcPr>
            <w:tcW w:type="dxa" w:w="238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Bảo hành</w:t>
            </w:r>
          </w:p>
        </w:tc>
        <w:tc>
          <w:tcPr>
            <w:tcW w:type="dxa" w:w="793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Phạm vi, thời hạn, ngày bắt đầu, đầu mối nhận yêu cầu và lịch xử lý theo từng trường hợp.</w:t>
            </w:r>
          </w:p>
        </w:tc>
      </w:tr>
    </w:tbl>
    <w:p>
      <w:pPr>
        <w:spacing w:after="0"/>
      </w:pPr>
    </w:p>
    <w:p>
      <w:pPr>
        <w:pStyle w:val="Heading2"/>
      </w:pPr>
      <w:r>
        <w:t>Trách nhiệm bảo hành được ghi trước khi ký</w:t>
      </w:r>
    </w:p>
    <w:p>
      <w:r>
        <w:rPr>
          <w:b w:val="0"/>
        </w:rPr>
        <w:t>Bảo hành phần NAMI sản xuất và lắp đặt được phân biệt với bảo hành phụ kiện của hãng, vật tư khách cấp và đồ cũ giữ lại. Thời hạn tính từ mốc nghiệm thu được quy định trong hợp đồng. Điều kiện loại trừ phải nêu rõ và được thống nhất trước khi ký.</w:t>
      </w:r>
    </w:p>
    <w:p>
      <w:r>
        <w:rPr>
          <w:b w:val="0"/>
        </w:rPr>
        <w:t>Khi có lỗi, Anh/Chị gửi mã hoặc vị trí sản phẩm, ảnh và mô tả sử dụng. NAMI ghi nhận, xác định phạm vi kiểm tra và thống nhất ngày phản hồi, lịch kiểm tra hoặc sửa. Nếu có nguy cơ mất an toàn, ngừng sử dụng phần liên quan và liên hệ đầu mối phụ trách.</w:t>
      </w:r>
    </w:p>
    <w:p>
      <w:r>
        <w:rPr>
          <w:b w:val="0"/>
        </w:rPr>
        <w:t>Trường hợp liên quan rò nước, nền tường, quá tải hoặc sửa bởi bên khác được kiểm tra nguyên nhân trước khi xác định trách nhiệm. Không tự động quy mọi lỗi cho điều kiện sử dụng. Chi phí ngoài bảo hành chỉ triển khai sau khi khách xác nhận.</w:t>
      </w:r>
    </w:p>
    <w:p>
      <w:pPr>
        <w:pStyle w:val="Heading2"/>
      </w:pPr>
      <w:r>
        <w:t>Gửi năm thông tin để bắt đầu</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931"/>
      </w:tblGrid>
      <w:tr>
        <w:trPr>
          <w:cantSplit/>
          <w:tblHeader/>
        </w:trPr>
        <w:tc>
          <w:tcPr>
            <w:tcW w:type="dxa" w:w="2381"/>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Thông tin</w:t>
            </w:r>
          </w:p>
        </w:tc>
        <w:tc>
          <w:tcPr>
            <w:tcW w:type="dxa" w:w="7931"/>
            <w:vAlign w:val="center"/>
            <w:shd w:fill="19364B"/>
            <w:tcMar>
              <w:top w:w="80" w:type="dxa"/>
              <w:bottom w:w="80" w:type="dxa"/>
              <w:left w:w="105" w:type="dxa"/>
              <w:right w:w="105" w:type="dxa"/>
            </w:tcMar>
          </w:tcPr>
          <w:p>
            <w:pPr>
              <w:spacing w:after="20" w:before="20" w:line="247" w:lineRule="auto"/>
            </w:pPr>
            <w:r>
              <w:rPr>
                <w:rFonts w:ascii="Arial" w:hAnsi="Arial"/>
                <w:b/>
                <w:color w:val="FFFFFF"/>
                <w:sz w:val="20"/>
              </w:rPr>
              <w:t>Nội dung khách hàng gửi</w:t>
            </w:r>
          </w:p>
        </w:tc>
      </w:tr>
      <w:tr>
        <w:trPr>
          <w:cantSplit/>
        </w:trPr>
        <w:tc>
          <w:tcPr>
            <w:tcW w:type="dxa" w:w="238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1 Vị trí và hiện trạng</w:t>
            </w:r>
          </w:p>
        </w:tc>
        <w:tc>
          <w:tcPr>
            <w:tcW w:type="dxa" w:w="793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Địa chỉ, loại nhà hoặc mặt bằng; ảnh/video khu vực đặt đồ.</w:t>
            </w:r>
          </w:p>
        </w:tc>
      </w:tr>
      <w:tr>
        <w:trPr>
          <w:cantSplit/>
        </w:trPr>
        <w:tc>
          <w:tcPr>
            <w:tcW w:type="dxa" w:w="238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2 Hạng mục</w:t>
            </w:r>
          </w:p>
        </w:tc>
        <w:tc>
          <w:tcPr>
            <w:tcW w:type="dxa" w:w="793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Danh sách tủ, bàn, giường, quầy hoặc kệ; bản vẽ/kích thước sơ bộ nếu có.</w:t>
            </w:r>
          </w:p>
        </w:tc>
      </w:tr>
      <w:tr>
        <w:trPr>
          <w:cantSplit/>
        </w:trPr>
        <w:tc>
          <w:tcPr>
            <w:tcW w:type="dxa" w:w="238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3 Nhu cầu sử dụng</w:t>
            </w:r>
          </w:p>
        </w:tc>
        <w:tc>
          <w:tcPr>
            <w:tcW w:type="dxa" w:w="793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Số người dùng, đồ cần lưu trữ, thiết bị cần tích hợp và mẫu mong muốn.</w:t>
            </w:r>
          </w:p>
        </w:tc>
      </w:tr>
      <w:tr>
        <w:trPr>
          <w:cantSplit/>
        </w:trPr>
        <w:tc>
          <w:tcPr>
            <w:tcW w:type="dxa" w:w="238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4 Mức đầu tư</w:t>
            </w:r>
          </w:p>
        </w:tc>
        <w:tc>
          <w:tcPr>
            <w:tcW w:type="dxa" w:w="7931"/>
            <w:vAlign w:val="center"/>
            <w:shd w:fill="F1F4F6"/>
            <w:tcMar>
              <w:top w:w="80" w:type="dxa"/>
              <w:bottom w:w="80" w:type="dxa"/>
              <w:left w:w="105" w:type="dxa"/>
              <w:right w:w="105" w:type="dxa"/>
            </w:tcMar>
          </w:tcPr>
          <w:p>
            <w:pPr>
              <w:spacing w:after="20" w:before="20" w:line="247" w:lineRule="auto"/>
            </w:pPr>
            <w:r>
              <w:rPr>
                <w:rFonts w:ascii="Arial" w:hAnsi="Arial"/>
                <w:b w:val="0"/>
                <w:color w:val="000000"/>
                <w:sz w:val="20"/>
              </w:rPr>
              <w:t>Khoảng ngân sách; phần ưu tiên và phần có thể làm sau.</w:t>
            </w:r>
          </w:p>
        </w:tc>
      </w:tr>
      <w:tr>
        <w:trPr>
          <w:cantSplit/>
        </w:trPr>
        <w:tc>
          <w:tcPr>
            <w:tcW w:type="dxa" w:w="238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5 Thời gian và đầu mối</w:t>
            </w:r>
          </w:p>
        </w:tc>
        <w:tc>
          <w:tcPr>
            <w:tcW w:type="dxa" w:w="7931"/>
            <w:vAlign w:val="center"/>
            <w:shd w:fill="FFFFFF"/>
            <w:tcMar>
              <w:top w:w="80" w:type="dxa"/>
              <w:bottom w:w="80" w:type="dxa"/>
              <w:left w:w="105" w:type="dxa"/>
              <w:right w:w="105" w:type="dxa"/>
            </w:tcMar>
          </w:tcPr>
          <w:p>
            <w:pPr>
              <w:spacing w:after="20" w:before="20" w:line="247" w:lineRule="auto"/>
            </w:pPr>
            <w:r>
              <w:rPr>
                <w:rFonts w:ascii="Arial" w:hAnsi="Arial"/>
                <w:b w:val="0"/>
                <w:color w:val="000000"/>
                <w:sz w:val="20"/>
              </w:rPr>
              <w:t>Ngày cần dùng, điều kiện giao lắp và người có quyền xác nhận.</w:t>
            </w:r>
          </w:p>
        </w:tc>
      </w:tr>
    </w:tbl>
    <w:p>
      <w:pPr>
        <w:spacing w:after="0"/>
      </w:pPr>
    </w:p>
    <w:p>
      <w:r>
        <w:rPr>
          <w:b/>
        </w:rPr>
        <w:t>Sau khi tiếp nhận, NAMI xác nhận thông tin cần bổ sung và hẹn ngày gửi định hướng cấu hình hoặc lịch khảo sát. Anh/Chị chọn phạm vi và vật liệu trên cơ sở đề xuất trước khi chốt giá sản xuất.</w:t>
      </w:r>
    </w:p>
    <w:p>
      <w:r>
        <w:rPr>
          <w:b/>
        </w:rPr>
        <w:t>NAMI DESIGN  |  0353 225 225  |  namidesign.vn</w:t>
      </w:r>
    </w:p>
    <w:p>
      <w:r>
        <w:rPr>
          <w:b w:val="0"/>
          <w:sz w:val="18"/>
        </w:rPr>
        <w:t>Phạm vi, thông số, mẫu, giá, thuế, tiến độ, thanh toán và bảo hành cuối cùng được xác định trong hồ sơ, báo giá, hợp đồng và phụ lục của đơn hàng.</w:t>
      </w:r>
    </w:p>
    <w:sectPr w:rsidR="00FC693F" w:rsidRPr="0006063C" w:rsidSect="00034616">
      <w:headerReference w:type="default" r:id="rId9"/>
      <w:footerReference w:type="default" r:id="rId10"/>
      <w:pgSz w:w="12240" w:h="15840"/>
      <w:pgMar w:top="935" w:right="964" w:bottom="879" w:left="964"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Tài liệu dịch vụ dành cho khách hàng  |  V1.0  |  09/10/2026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8"/>
      </w:rPr>
      <w:t>NAMI DESIGN  |  SẢN XUẤT ĐỒ GỖ</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0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20"/>
    </w:pPr>
    <w:rPr>
      <w:rFonts w:asciiTheme="majorHAnsi" w:eastAsiaTheme="majorEastAsia" w:hAnsiTheme="majorHAnsi" w:cstheme="majorBidi" w:ascii="Arial" w:hAnsi="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Dịch vụ sản xuất đồ gỗ NAMI Design 14 mô đun</dc:title>
  <dc:subject>Tài liệu dịch vụ dành cho khách hàng cá nhân và doanh nghiệp SME</dc:subject>
  <dc:creator>NAMI Design</dc:creator>
  <cp:keywords/>
  <dc:description>generated by python-docx</dc:description>
  <cp:lastModifiedBy/>
  <cp:revision>1</cp:revision>
  <dcterms:created xsi:type="dcterms:W3CDTF">2013-12-23T23:15:00Z</dcterms:created>
  <dcterms:modified xsi:type="dcterms:W3CDTF">2013-12-23T23:15:00Z</dcterms:modified>
  <cp:category/>
</cp:coreProperties>
</file>