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pStyle w:val="Title"/>
      </w:pPr>
      <w:r>
        <w:t>CẢI TẠO NHÀ Ở</w:t>
      </w:r>
    </w:p>
    <w:p>
      <w:pPr>
        <w:pStyle w:val="Lead"/>
      </w:pPr>
      <w:r>
        <w:t>14 MÔ-ĐUN ĐẦU RA DÀNH CHO KHÁCH HÀNG</w:t>
      </w:r>
    </w:p>
    <w:p>
      <w:r>
        <w:t>Từ ngôi nhà đang có đến không gian phù hợp giai đoạn sống mới: NAMI khảo sát hiện trạng, xác định phần giữ lại và phần cần sửa, kiểm tra các rủi ro kỹ thuật, chốt phạm vi trước khi thi công và nghiệm thu theo mốc.</w:t>
      </w:r>
    </w:p>
    <w:p>
      <w:pPr>
        <w:pStyle w:val="Lead"/>
      </w:pPr>
      <w:r>
        <w:t>Nhà phố  |  Biệt thự  |  Nhà vườn  |  Căn hộ đã sử dụng</w:t>
      </w:r>
    </w:p>
    <w:p>
      <w:pPr>
        <w:pStyle w:val="Lead"/>
      </w:pPr>
      <w:r>
        <w:t>LÀM ĐÚNG NGAY TỪ ĐẦU</w:t>
      </w:r>
    </w:p>
    <w:p/>
    <w:p/>
    <w:p/>
    <w:tbl>
      <w:tblPr>
        <w:tblW w:type="auto" w:w="0"/>
        <w:jc w:val="center"/>
        <w:tblLayout w:type="fixed"/>
        <w:tblLook w:firstColumn="1" w:firstRow="1" w:lastColumn="0" w:lastRow="0" w:noHBand="0" w:noVBand="1" w:val="04A0"/>
      </w:tblPr>
      <w:tblGrid>
        <w:gridCol w:w="3168"/>
        <w:gridCol w:w="6192"/>
      </w:tblGrid>
      <w:tr>
        <w:trPr>
          <w:tblHeader w:val="true"/>
          <w:cantSplit/>
        </w:trPr>
        <w:tc>
          <w:tcPr>
            <w:tcW w:type="dxa" w:w="3168"/>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Câu hỏi cần trả lời trước khi sửa</w:t>
            </w:r>
          </w:p>
        </w:tc>
        <w:tc>
          <w:tcPr>
            <w:tcW w:type="dxa" w:w="6192"/>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Cách NAMI làm rõ</w:t>
            </w:r>
          </w:p>
        </w:tc>
      </w:tr>
      <w:tr>
        <w:trPr>
          <w:cantSplit/>
        </w:trPr>
        <w:tc>
          <w:tcPr>
            <w:tcW w:type="dxa" w:w="3168"/>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Nên giữ, sửa hay thay?</w:t>
            </w:r>
          </w:p>
        </w:tc>
        <w:tc>
          <w:tcPr>
            <w:tcW w:type="dxa" w:w="6192"/>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Đánh giá hiện trạng theo khu vực và mức can thiệp, ưu tiên hạng mục ảnh hưởng an toàn và sử dụng.</w:t>
            </w:r>
          </w:p>
        </w:tc>
      </w:tr>
      <w:tr>
        <w:trPr>
          <w:cantSplit/>
        </w:trPr>
        <w:tc>
          <w:tcPr>
            <w:tcW w:type="dxa" w:w="3168"/>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Chi phí nào đã chắc, chi phí nào còn mở?</w:t>
            </w:r>
          </w:p>
        </w:tc>
        <w:tc>
          <w:tcPr>
            <w:tcW w:type="dxa" w:w="6192"/>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Tách phần đủ cơ sở báo giá, phần tạm tính và khoản dự phòng cho điều kiện chưa nhìn thấy.</w:t>
            </w:r>
          </w:p>
        </w:tc>
      </w:tr>
      <w:tr>
        <w:trPr>
          <w:cantSplit/>
        </w:trPr>
        <w:tc>
          <w:tcPr>
            <w:tcW w:type="dxa" w:w="3168"/>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Nếu bóc mở thấy vấn đề mới?</w:t>
            </w:r>
          </w:p>
        </w:tc>
        <w:tc>
          <w:tcPr>
            <w:tcW w:type="dxa" w:w="6192"/>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Ghi ảnh, nêu phương án, chi phí và ảnh hưởng tiến độ để Anh/Chị xác nhận trước khi làm.</w:t>
            </w:r>
          </w:p>
        </w:tc>
      </w:tr>
    </w:tbl>
    <w:p>
      <w:pPr>
        <w:spacing w:after="0"/>
      </w:pPr>
    </w:p>
    <w:p>
      <w:pPr>
        <w:pStyle w:val="Small"/>
      </w:pPr>
      <w:r>
        <w:t>Tài liệu giới thiệu dịch vụ  |  Phạm vi, giá và tiến độ chính thức theo khảo sát, hồ sơ, báo giá, hợp đồng và phụ lục từng công trình.</w:t>
      </w:r>
    </w:p>
    <w:p>
      <w:r>
        <w:br w:type="page"/>
      </w:r>
    </w:p>
    <w:p>
      <w:pPr>
        <w:pStyle w:val="Heading1"/>
      </w:pPr>
      <w:r>
        <w:t>NHÌN NHANH</w:t>
      </w:r>
    </w:p>
    <w:p>
      <w:r>
        <w:t>Anh/Chị có hai lựa chọn rõ ràng: phạm vi cần giữ, sửa hoặc thay; và mức vật liệu cho phần làm mới. NAMI xác định nền kỹ thuật theo hiện trạng, kiểm soát phần chưa nhìn thấy bằng mở kiểm tra và xác nhận trước khi phát sinh.</w:t>
      </w:r>
    </w:p>
    <w:tbl>
      <w:tblPr>
        <w:tblW w:type="auto" w:w="0"/>
        <w:jc w:val="center"/>
        <w:tblLayout w:type="fixed"/>
        <w:tblLook w:firstColumn="1" w:firstRow="1" w:lastColumn="0" w:lastRow="0" w:noHBand="0" w:noVBand="1" w:val="04A0"/>
      </w:tblPr>
      <w:tblGrid>
        <w:gridCol w:w="2333"/>
        <w:gridCol w:w="2333"/>
        <w:gridCol w:w="2333"/>
        <w:gridCol w:w="2362"/>
      </w:tblGrid>
      <w:tr>
        <w:trPr>
          <w:tblHeader w:val="true"/>
          <w:cantSplit/>
        </w:trPr>
        <w:tc>
          <w:tcPr>
            <w:tcW w:type="dxa" w:w="2333"/>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01 đến 04</w:t>
            </w:r>
          </w:p>
        </w:tc>
        <w:tc>
          <w:tcPr>
            <w:tcW w:type="dxa" w:w="2333"/>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05 đến 07</w:t>
            </w:r>
          </w:p>
        </w:tc>
        <w:tc>
          <w:tcPr>
            <w:tcW w:type="dxa" w:w="2333"/>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08 đến 10</w:t>
            </w:r>
          </w:p>
        </w:tc>
        <w:tc>
          <w:tcPr>
            <w:tcW w:type="dxa" w:w="2362"/>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11 đến 14</w:t>
            </w:r>
          </w:p>
        </w:tc>
      </w:tr>
      <w:tr>
        <w:trPr>
          <w:cantSplit/>
        </w:trPr>
        <w:tc>
          <w:tcPr>
            <w:tcW w:type="dxa" w:w="2333"/>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Nhu cầu và kết quả</w:t>
            </w:r>
          </w:p>
        </w:tc>
        <w:tc>
          <w:tcPr>
            <w:tcW w:type="dxa" w:w="2333"/>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Phạm vi và lựa chọn</w:t>
            </w:r>
          </w:p>
        </w:tc>
        <w:tc>
          <w:tcPr>
            <w:tcW w:type="dxa" w:w="2333"/>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Triển khai và kiểm soát</w:t>
            </w:r>
          </w:p>
        </w:tc>
        <w:tc>
          <w:tcPr>
            <w:tcW w:type="dxa" w:w="2362"/>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Giá, thay đổi, bàn giao</w:t>
            </w:r>
          </w:p>
        </w:tc>
      </w:tr>
    </w:tbl>
    <w:p>
      <w:pPr>
        <w:spacing w:after="0"/>
      </w:pPr>
    </w:p>
    <w:p>
      <w:pPr>
        <w:pStyle w:val="Eyebrow"/>
      </w:pPr>
      <w:r>
        <w:t>MODULE 01</w:t>
      </w:r>
    </w:p>
    <w:p>
      <w:pPr>
        <w:pStyle w:val="Heading1"/>
      </w:pPr>
      <w:r>
        <w:t>Dịch vụ cải tạo nhà ở</w:t>
      </w:r>
    </w:p>
    <w:p>
      <w:r>
        <w:t>NAMI tiếp nhận nhu cầu, khảo sát công trình hiện hữu, lập giải pháp và mức đầu tư, tổ chức tháo dỡ có kiểm soát, sửa chữa phần xây dựng và hệ kỹ thuật trong phạm vi, hoàn thiện, nghiệm thu và bàn giao. Mọi can thiệp vào kết cấu chịu lực hoặc hệ thống chung cần được đánh giá chuyên môn và xác định điều kiện thực hiện trước khi thi công.</w:t>
      </w:r>
    </w:p>
    <w:p>
      <w:pPr>
        <w:pStyle w:val="Lead"/>
      </w:pPr>
      <w:r>
        <w:t>Khảo sát → Chốt phần biết rõ → Mở kiểm tra có kiểm soát → Xác nhận phần phát hiện mới → Thi công và nghiệm thu</w:t>
      </w:r>
    </w:p>
    <w:p>
      <w:pPr>
        <w:pStyle w:val="Eyebrow"/>
      </w:pPr>
      <w:r>
        <w:t>MODULE 02</w:t>
      </w:r>
    </w:p>
    <w:p>
      <w:pPr>
        <w:pStyle w:val="Heading1"/>
      </w:pPr>
      <w:r>
        <w:t>Dịch vụ phù hợp với ai?</w:t>
      </w:r>
    </w:p>
    <w:tbl>
      <w:tblPr>
        <w:tblW w:type="auto" w:w="0"/>
        <w:jc w:val="center"/>
        <w:tblLayout w:type="fixed"/>
        <w:tblLook w:firstColumn="1" w:firstRow="1" w:lastColumn="0" w:lastRow="0" w:noHBand="0" w:noVBand="1" w:val="04A0"/>
      </w:tblPr>
      <w:tblGrid>
        <w:gridCol w:w="2232"/>
        <w:gridCol w:w="3528"/>
        <w:gridCol w:w="3600"/>
      </w:tblGrid>
      <w:tr>
        <w:trPr>
          <w:tblHeader w:val="true"/>
          <w:cantSplit/>
        </w:trPr>
        <w:tc>
          <w:tcPr>
            <w:tcW w:type="dxa" w:w="2232"/>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Tình huống</w:t>
            </w:r>
          </w:p>
        </w:tc>
        <w:tc>
          <w:tcPr>
            <w:tcW w:type="dxa" w:w="3528"/>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Nhu cầu chính</w:t>
            </w:r>
          </w:p>
        </w:tc>
        <w:tc>
          <w:tcPr>
            <w:tcW w:type="dxa" w:w="3600"/>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Điều kiện cần làm rõ</w:t>
            </w:r>
          </w:p>
        </w:tc>
      </w:tr>
      <w:tr>
        <w:trPr>
          <w:cantSplit/>
        </w:trPr>
        <w:tc>
          <w:tcPr>
            <w:tcW w:type="dxa" w:w="2232"/>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Nhà xuống cấp</w:t>
            </w:r>
          </w:p>
        </w:tc>
        <w:tc>
          <w:tcPr>
            <w:tcW w:type="dxa" w:w="3528"/>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Xử lý thấm, nứt, hệ điện nước cũ, lớp hoàn thiện hỏng.</w:t>
            </w:r>
          </w:p>
        </w:tc>
        <w:tc>
          <w:tcPr>
            <w:tcW w:type="dxa" w:w="3600"/>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Nguyên nhân hư hỏng, mức độ can thiệp và phần nào còn sử dụng được.</w:t>
            </w:r>
          </w:p>
        </w:tc>
      </w:tr>
      <w:tr>
        <w:trPr>
          <w:cantSplit/>
        </w:trPr>
        <w:tc>
          <w:tcPr>
            <w:tcW w:type="dxa" w:w="2232"/>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Thay đổi nếp sống</w:t>
            </w:r>
          </w:p>
        </w:tc>
        <w:tc>
          <w:tcPr>
            <w:tcW w:type="dxa" w:w="3528"/>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Đổi công năng phòng, cải thiện sáng thoáng, tăng tiện nghi.</w:t>
            </w:r>
          </w:p>
        </w:tc>
        <w:tc>
          <w:tcPr>
            <w:tcW w:type="dxa" w:w="3600"/>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Khả năng chịu lực, đường điện nước và giới hạn mặt bằng.</w:t>
            </w:r>
          </w:p>
        </w:tc>
      </w:tr>
      <w:tr>
        <w:trPr>
          <w:cantSplit/>
        </w:trPr>
        <w:tc>
          <w:tcPr>
            <w:tcW w:type="dxa" w:w="2232"/>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Cải tạo trước khi cho thuê/bán</w:t>
            </w:r>
          </w:p>
        </w:tc>
        <w:tc>
          <w:tcPr>
            <w:tcW w:type="dxa" w:w="3528"/>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Tập trung hạng mục tạo giá trị sử dụng và dễ bảo trì.</w:t>
            </w:r>
          </w:p>
        </w:tc>
        <w:tc>
          <w:tcPr>
            <w:tcW w:type="dxa" w:w="3600"/>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Ngân sách mục tiêu, mức hoàn thiện, thời gian thu hồi theo kế hoạch của chủ nhà.</w:t>
            </w:r>
          </w:p>
        </w:tc>
      </w:tr>
      <w:tr>
        <w:trPr>
          <w:cantSplit/>
        </w:trPr>
        <w:tc>
          <w:tcPr>
            <w:tcW w:type="dxa" w:w="2232"/>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Căn hộ, nhà trong khu đô thị</w:t>
            </w:r>
          </w:p>
        </w:tc>
        <w:tc>
          <w:tcPr>
            <w:tcW w:type="dxa" w:w="3528"/>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Làm mới không gian trong giới hạn hiện trạng và vận hành.</w:t>
            </w:r>
          </w:p>
        </w:tc>
        <w:tc>
          <w:tcPr>
            <w:tcW w:type="dxa" w:w="3600"/>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Quy chế quản lý, giờ thi công, thang hàng, hệ thống chung và phạm vi được chấp thuận.</w:t>
            </w:r>
          </w:p>
        </w:tc>
      </w:tr>
    </w:tbl>
    <w:p>
      <w:pPr>
        <w:spacing w:after="0"/>
      </w:pPr>
    </w:p>
    <w:p>
      <w:pPr>
        <w:pStyle w:val="Small"/>
      </w:pPr>
      <w:r>
        <w:t>NAMI phù hợp khi chủ nhà có ngân sách mục tiêu, người ra quyết định và sẵn sàng khảo sát, xác nhận phát hiện mới theo mốc. Công trình có dấu hiệu mất an toàn được ưu tiên đánh giá hiện trạng trước khi chốt gói thi công.</w:t>
      </w:r>
    </w:p>
    <w:p>
      <w:pPr>
        <w:pStyle w:val="Eyebrow"/>
      </w:pPr>
      <w:r>
        <w:t>MODULE 03</w:t>
      </w:r>
    </w:p>
    <w:p>
      <w:pPr>
        <w:pStyle w:val="Heading1"/>
      </w:pPr>
      <w:r>
        <w:t>Năm nỗi lo thường gặp khi cải tạo</w:t>
      </w:r>
    </w:p>
    <w:tbl>
      <w:tblPr>
        <w:tblW w:type="auto" w:w="0"/>
        <w:jc w:val="center"/>
        <w:tblLayout w:type="fixed"/>
        <w:tblLook w:firstColumn="1" w:firstRow="1" w:lastColumn="0" w:lastRow="0" w:noHBand="0" w:noVBand="1" w:val="04A0"/>
      </w:tblPr>
      <w:tblGrid>
        <w:gridCol w:w="3168"/>
        <w:gridCol w:w="6192"/>
      </w:tblGrid>
      <w:tr>
        <w:trPr>
          <w:tblHeader w:val="true"/>
          <w:cantSplit/>
        </w:trPr>
        <w:tc>
          <w:tcPr>
            <w:tcW w:type="dxa" w:w="3168"/>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Nỗi lo</w:t>
            </w:r>
          </w:p>
        </w:tc>
        <w:tc>
          <w:tcPr>
            <w:tcW w:type="dxa" w:w="6192"/>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Cách NAMI xử lý</w:t>
            </w:r>
          </w:p>
        </w:tc>
      </w:tr>
      <w:tr>
        <w:trPr>
          <w:cantSplit/>
        </w:trPr>
        <w:tc>
          <w:tcPr>
            <w:tcW w:type="dxa" w:w="3168"/>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Bóc mở mới thấy phần hỏng</w:t>
            </w:r>
          </w:p>
        </w:tc>
        <w:tc>
          <w:tcPr>
            <w:tcW w:type="dxa" w:w="6192"/>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Lập biên bản hiện trạng ban đầu; phân loại phần đã biết và phần chỉ xác định sau mở kiểm tra.</w:t>
            </w:r>
          </w:p>
        </w:tc>
      </w:tr>
      <w:tr>
        <w:trPr>
          <w:cantSplit/>
        </w:trPr>
        <w:tc>
          <w:tcPr>
            <w:tcW w:type="dxa" w:w="3168"/>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Báo giá thấp rồi tăng nhiều</w:t>
            </w:r>
          </w:p>
        </w:tc>
        <w:tc>
          <w:tcPr>
            <w:tcW w:type="dxa" w:w="6192"/>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Tách khối lượng chắc chắn, khối lượng tạm tính, chưa bao gồm và khoản dự phòng của chủ nhà.</w:t>
            </w:r>
          </w:p>
        </w:tc>
      </w:tr>
      <w:tr>
        <w:trPr>
          <w:cantSplit/>
        </w:trPr>
        <w:tc>
          <w:tcPr>
            <w:tcW w:type="dxa" w:w="3168"/>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Sửa xong vẫn thấm, nứt hoặc quá tải điện</w:t>
            </w:r>
          </w:p>
        </w:tc>
        <w:tc>
          <w:tcPr>
            <w:tcW w:type="dxa" w:w="6192"/>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Tìm nguyên nhân và kiểm tra giải pháp kỹ thuật trước khi che phủ; không chỉ xử lý bề mặt.</w:t>
            </w:r>
          </w:p>
        </w:tc>
      </w:tr>
      <w:tr>
        <w:trPr>
          <w:cantSplit/>
        </w:trPr>
        <w:tc>
          <w:tcPr>
            <w:tcW w:type="dxa" w:w="3168"/>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Ảnh hưởng nhà liền kề và đồ đạc</w:t>
            </w:r>
          </w:p>
        </w:tc>
        <w:tc>
          <w:tcPr>
            <w:tcW w:type="dxa" w:w="6192"/>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Khảo sát, ảnh hiện trạng liên quan, phương án bảo vệ, vận chuyển và trình tự tháo dỡ.</w:t>
            </w:r>
          </w:p>
        </w:tc>
      </w:tr>
      <w:tr>
        <w:trPr>
          <w:cantSplit/>
        </w:trPr>
        <w:tc>
          <w:tcPr>
            <w:tcW w:type="dxa" w:w="3168"/>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Nhà đang ở bị gián đoạn quá lâu</w:t>
            </w:r>
          </w:p>
        </w:tc>
        <w:tc>
          <w:tcPr>
            <w:tcW w:type="dxa" w:w="6192"/>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Phân giai đoạn thi công, làm rõ điều kiện ở lại hoặc di dời trước khi ký tiến độ.</w:t>
            </w:r>
          </w:p>
        </w:tc>
      </w:tr>
    </w:tbl>
    <w:p>
      <w:pPr>
        <w:spacing w:after="0"/>
      </w:pPr>
    </w:p>
    <w:p>
      <w:pPr>
        <w:pStyle w:val="Eyebrow"/>
      </w:pPr>
      <w:r>
        <w:t>MODULE 04</w:t>
      </w:r>
    </w:p>
    <w:p>
      <w:pPr>
        <w:pStyle w:val="Heading1"/>
      </w:pPr>
      <w:r>
        <w:t>Kết quả Anh/Chị nhận được</w:t>
      </w:r>
    </w:p>
    <w:tbl>
      <w:tblPr>
        <w:tblW w:type="auto" w:w="0"/>
        <w:jc w:val="center"/>
        <w:tblLayout w:type="fixed"/>
        <w:tblLook w:firstColumn="1" w:firstRow="1" w:lastColumn="0" w:lastRow="0" w:noHBand="0" w:noVBand="1" w:val="04A0"/>
      </w:tblPr>
      <w:tblGrid>
        <w:gridCol w:w="3024"/>
        <w:gridCol w:w="6336"/>
      </w:tblGrid>
      <w:tr>
        <w:trPr>
          <w:tblHeader w:val="true"/>
          <w:cantSplit/>
        </w:trPr>
        <w:tc>
          <w:tcPr>
            <w:tcW w:type="dxa" w:w="3024"/>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Đầu ra</w:t>
            </w:r>
          </w:p>
        </w:tc>
        <w:tc>
          <w:tcPr>
            <w:tcW w:type="dxa" w:w="6336"/>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Cách kiểm chứng</w:t>
            </w:r>
          </w:p>
        </w:tc>
      </w:tr>
      <w:tr>
        <w:trPr>
          <w:cantSplit/>
        </w:trPr>
        <w:tc>
          <w:tcPr>
            <w:tcW w:type="dxa" w:w="3024"/>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Biết việc nào đáng làm trước</w:t>
            </w:r>
          </w:p>
        </w:tc>
        <w:tc>
          <w:tcPr>
            <w:tcW w:type="dxa" w:w="6336"/>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Danh mục giữ lại, sửa chữa, thay mới và mức ưu tiên theo hiện trạng.</w:t>
            </w:r>
          </w:p>
        </w:tc>
      </w:tr>
      <w:tr>
        <w:trPr>
          <w:cantSplit/>
        </w:trPr>
        <w:tc>
          <w:tcPr>
            <w:tcW w:type="dxa" w:w="3024"/>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Giải pháp phù hợp nhà đang có</w:t>
            </w:r>
          </w:p>
        </w:tc>
        <w:tc>
          <w:tcPr>
            <w:tcW w:type="dxa" w:w="6336"/>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Bản vẽ/chi tiết cải tạo theo phạm vi, kiểm tra giao diện kết cấu, điện nước, chống thấm.</w:t>
            </w:r>
          </w:p>
        </w:tc>
      </w:tr>
      <w:tr>
        <w:trPr>
          <w:cantSplit/>
        </w:trPr>
        <w:tc>
          <w:tcPr>
            <w:tcW w:type="dxa" w:w="3024"/>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Ngân sách dễ kiểm soát</w:t>
            </w:r>
          </w:p>
        </w:tc>
        <w:tc>
          <w:tcPr>
            <w:tcW w:type="dxa" w:w="6336"/>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Khái toán, BOQ/báo giá theo khu vực và nhóm công việc, giả định cùng khoản chưa chắc chắn.</w:t>
            </w:r>
          </w:p>
        </w:tc>
      </w:tr>
      <w:tr>
        <w:trPr>
          <w:cantSplit/>
        </w:trPr>
        <w:tc>
          <w:tcPr>
            <w:tcW w:type="dxa" w:w="3024"/>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Có cơ sở kiểm tra chất lượng</w:t>
            </w:r>
          </w:p>
        </w:tc>
        <w:tc>
          <w:tcPr>
            <w:tcW w:type="dxa" w:w="6336"/>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Mẫu vật liệu, ảnh trước và sau, nghiệm thu phần ẩn và các mốc hoàn thiện.</w:t>
            </w:r>
          </w:p>
        </w:tc>
      </w:tr>
      <w:tr>
        <w:trPr>
          <w:cantSplit/>
        </w:trPr>
        <w:tc>
          <w:tcPr>
            <w:tcW w:type="dxa" w:w="3024"/>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Bàn giao để sử dụng và bảo trì</w:t>
            </w:r>
          </w:p>
        </w:tc>
        <w:tc>
          <w:tcPr>
            <w:tcW w:type="dxa" w:w="6336"/>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Danh mục hạng mục, hồ sơ thay đổi, hướng dẫn dùng và điều kiện bảo hành.</w:t>
            </w:r>
          </w:p>
        </w:tc>
      </w:tr>
    </w:tbl>
    <w:p>
      <w:pPr>
        <w:spacing w:after="0"/>
      </w:pPr>
    </w:p>
    <w:p>
      <w:pPr>
        <w:pStyle w:val="Eyebrow"/>
      </w:pPr>
      <w:r>
        <w:t>MODULE 05</w:t>
      </w:r>
    </w:p>
    <w:p>
      <w:pPr>
        <w:pStyle w:val="Heading1"/>
      </w:pPr>
      <w:r>
        <w:t>Phạm vi bao gồm</w:t>
      </w:r>
    </w:p>
    <w:p>
      <w:r>
        <w:t>Dịch vụ được cấu hình theo hiện trạng. Hạng mục chỉ được coi là bao gồm khi có dòng rõ trong bản vẽ, bảng khối lượng, báo giá và hợp đồng.</w:t>
      </w:r>
    </w:p>
    <w:tbl>
      <w:tblPr>
        <w:tblW w:type="auto" w:w="0"/>
        <w:jc w:val="center"/>
        <w:tblLayout w:type="fixed"/>
        <w:tblLook w:firstColumn="1" w:firstRow="1" w:lastColumn="0" w:lastRow="0" w:noHBand="0" w:noVBand="1" w:val="04A0"/>
      </w:tblPr>
      <w:tblGrid>
        <w:gridCol w:w="1944"/>
        <w:gridCol w:w="3600"/>
        <w:gridCol w:w="3816"/>
      </w:tblGrid>
      <w:tr>
        <w:trPr>
          <w:tblHeader w:val="true"/>
          <w:cantSplit/>
        </w:trPr>
        <w:tc>
          <w:tcPr>
            <w:tcW w:type="dxa" w:w="1944"/>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Lớp công việc</w:t>
            </w:r>
          </w:p>
        </w:tc>
        <w:tc>
          <w:tcPr>
            <w:tcW w:type="dxa" w:w="3600"/>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Ví dụ phạm vi có thể nhận</w:t>
            </w:r>
          </w:p>
        </w:tc>
        <w:tc>
          <w:tcPr>
            <w:tcW w:type="dxa" w:w="3816"/>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Điểm phải khóa</w:t>
            </w:r>
          </w:p>
        </w:tc>
      </w:tr>
      <w:tr>
        <w:trPr>
          <w:cantSplit/>
        </w:trPr>
        <w:tc>
          <w:tcPr>
            <w:tcW w:type="dxa" w:w="1944"/>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Khảo sát và giải pháp</w:t>
            </w:r>
          </w:p>
        </w:tc>
        <w:tc>
          <w:tcPr>
            <w:tcW w:type="dxa" w:w="3600"/>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Đo đạc, ghi ảnh, rà hồ sơ cũ, xác định vùng can thiệp, thiết kế cải tạo theo đặt hàng.</w:t>
            </w:r>
          </w:p>
        </w:tc>
        <w:tc>
          <w:tcPr>
            <w:tcW w:type="dxa" w:w="3816"/>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Phạm vi khảo sát trực quan, vị trí mở kiểm tra và hồ sơ cần bổ sung.</w:t>
            </w:r>
          </w:p>
        </w:tc>
      </w:tr>
      <w:tr>
        <w:trPr>
          <w:cantSplit/>
        </w:trPr>
        <w:tc>
          <w:tcPr>
            <w:tcW w:type="dxa" w:w="1944"/>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Tháo dỡ và bảo vệ</w:t>
            </w:r>
          </w:p>
        </w:tc>
        <w:tc>
          <w:tcPr>
            <w:tcW w:type="dxa" w:w="3600"/>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Tháo thiết bị, trần, sàn, tường ngăn theo chỉ định; che chắn và vận chuyển phế thải.</w:t>
            </w:r>
          </w:p>
        </w:tc>
        <w:tc>
          <w:tcPr>
            <w:tcW w:type="dxa" w:w="3816"/>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Danh mục giữ lại, lối vận chuyển, hiện trạng nhà và nhà bên.</w:t>
            </w:r>
          </w:p>
        </w:tc>
      </w:tr>
      <w:tr>
        <w:trPr>
          <w:cantSplit/>
        </w:trPr>
        <w:tc>
          <w:tcPr>
            <w:tcW w:type="dxa" w:w="1944"/>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Sửa chữa nền kỹ thuật</w:t>
            </w:r>
          </w:p>
        </w:tc>
        <w:tc>
          <w:tcPr>
            <w:tcW w:type="dxa" w:w="3600"/>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Sửa phần xây trát, xử lý chống thấm, tuyến điện nước, nền/sàn theo giải pháp được duyệt.</w:t>
            </w:r>
          </w:p>
        </w:tc>
        <w:tc>
          <w:tcPr>
            <w:tcW w:type="dxa" w:w="3816"/>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Nguyên nhân lỗi, phạm vi xử lý, thử trước che phủ.</w:t>
            </w:r>
          </w:p>
        </w:tc>
      </w:tr>
      <w:tr>
        <w:trPr>
          <w:cantSplit/>
        </w:trPr>
        <w:tc>
          <w:tcPr>
            <w:tcW w:type="dxa" w:w="1944"/>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Hoàn thiện và lắp đặt</w:t>
            </w:r>
          </w:p>
        </w:tc>
        <w:tc>
          <w:tcPr>
            <w:tcW w:type="dxa" w:w="3600"/>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Ốp lát, trần, sơn, cửa, thiết bị và nội thất cố định nếu có.</w:t>
            </w:r>
          </w:p>
        </w:tc>
        <w:tc>
          <w:tcPr>
            <w:tcW w:type="dxa" w:w="3816"/>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Mã vật liệu, khối lượng, phụ kiện, thiết bị.</w:t>
            </w:r>
          </w:p>
        </w:tc>
      </w:tr>
      <w:tr>
        <w:trPr>
          <w:cantSplit/>
        </w:trPr>
        <w:tc>
          <w:tcPr>
            <w:tcW w:type="dxa" w:w="1944"/>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Nghiệm thu và bàn giao</w:t>
            </w:r>
          </w:p>
        </w:tc>
        <w:tc>
          <w:tcPr>
            <w:tcW w:type="dxa" w:w="3600"/>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Kiểm tra theo giai đoạn, xử lý tồn tại, đối chiếu quyết toán.</w:t>
            </w:r>
          </w:p>
        </w:tc>
        <w:tc>
          <w:tcPr>
            <w:tcW w:type="dxa" w:w="3816"/>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Biên bản, ảnh, danh mục bàn giao và bảo hành.</w:t>
            </w:r>
          </w:p>
        </w:tc>
      </w:tr>
    </w:tbl>
    <w:p>
      <w:pPr>
        <w:spacing w:after="0"/>
      </w:pPr>
    </w:p>
    <w:p>
      <w:pPr>
        <w:pStyle w:val="Eyebrow"/>
      </w:pPr>
      <w:r>
        <w:t>MODULE 06</w:t>
      </w:r>
    </w:p>
    <w:p>
      <w:pPr>
        <w:pStyle w:val="Heading1"/>
      </w:pPr>
      <w:r>
        <w:t>Phạm vi cải tạo và lựa chọn vật liệu</w:t>
      </w:r>
    </w:p>
    <w:p>
      <w:r>
        <w:t>Anh/Chị chọn phạm vi cải tạo trước, sau đó chọn mức vật liệu cho các phần thay mới. NAMI ưu tiên phần ảnh hưởng an toàn, độ bền và chi phí sửa chữa về sau; các lựa chọn thẩm mỹ được điều chỉnh theo ngân sách.</w:t>
      </w:r>
    </w:p>
    <w:p>
      <w:pPr>
        <w:pStyle w:val="Heading2"/>
      </w:pPr>
      <w:r>
        <w:t>6.1 Phạm vi cải tạo theo hiện trạng</w:t>
      </w:r>
    </w:p>
    <w:tbl>
      <w:tblPr>
        <w:tblW w:type="auto" w:w="0"/>
        <w:jc w:val="center"/>
        <w:tblLayout w:type="fixed"/>
        <w:tblLook w:firstColumn="1" w:firstRow="1" w:lastColumn="0" w:lastRow="0" w:noHBand="0" w:noVBand="1" w:val="04A0"/>
      </w:tblPr>
      <w:tblGrid>
        <w:gridCol w:w="3154"/>
        <w:gridCol w:w="3154"/>
        <w:gridCol w:w="3154"/>
      </w:tblGrid>
      <w:tr>
        <w:trPr>
          <w:cantSplit/>
          <w:tblHeader/>
        </w:trPr>
        <w:tc>
          <w:tcPr>
            <w:tcW w:type="dxa" w:w="1440"/>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Phạm vi</w:t>
            </w:r>
          </w:p>
        </w:tc>
        <w:tc>
          <w:tcPr>
            <w:tcW w:type="dxa" w:w="3888"/>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Khi phù hợp</w:t>
            </w:r>
          </w:p>
        </w:tc>
        <w:tc>
          <w:tcPr>
            <w:tcW w:type="dxa" w:w="4032"/>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Căn cứ trước thi công</w:t>
            </w:r>
          </w:p>
        </w:tc>
      </w:tr>
      <w:tr>
        <w:trPr>
          <w:cantSplit/>
        </w:trPr>
        <w:tc>
          <w:tcPr>
            <w:tcW w:type="dxa" w:w="1440"/>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Cục bộ</w:t>
            </w:r>
          </w:p>
        </w:tc>
        <w:tc>
          <w:tcPr>
            <w:tcW w:type="dxa" w:w="388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Giữ phần còn tốt; xử lý lỗi xác định được và làm mới một số khu vực.</w:t>
            </w:r>
          </w:p>
        </w:tc>
        <w:tc>
          <w:tcPr>
            <w:tcW w:type="dxa" w:w="4032"/>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Danh mục vị trí giữ, sửa, thay và khối lượng khảo sát.</w:t>
            </w:r>
          </w:p>
        </w:tc>
      </w:tr>
      <w:tr>
        <w:trPr>
          <w:cantSplit/>
        </w:trPr>
        <w:tc>
          <w:tcPr>
            <w:tcW w:type="dxa" w:w="1440"/>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Đồng bộ</w:t>
            </w:r>
          </w:p>
        </w:tc>
        <w:tc>
          <w:tcPr>
            <w:tcW w:type="dxa" w:w="388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Nhiều phòng hoặc hệ kỹ thuật cần nâng cấp, cần phối hợp thi công liên thông.</w:t>
            </w:r>
          </w:p>
        </w:tc>
        <w:tc>
          <w:tcPr>
            <w:tcW w:type="dxa" w:w="4032"/>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Bản vẽ, bảng khối lượng và phần tạm tính sau mở kiểm tra.</w:t>
            </w:r>
          </w:p>
        </w:tc>
      </w:tr>
      <w:tr>
        <w:trPr>
          <w:cantSplit/>
        </w:trPr>
        <w:tc>
          <w:tcPr>
            <w:tcW w:type="dxa" w:w="1440"/>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Chuyên sâu</w:t>
            </w:r>
          </w:p>
        </w:tc>
        <w:tc>
          <w:tcPr>
            <w:tcW w:type="dxa" w:w="388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Đổi công năng lớn hoặc có can thiệp kết cấu/hệ thống quan trọng.</w:t>
            </w:r>
          </w:p>
        </w:tc>
        <w:tc>
          <w:tcPr>
            <w:tcW w:type="dxa" w:w="4032"/>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Đánh giá chuyên môn, hồ sơ và điều kiện triển khai của phần can thiệp.</w:t>
            </w:r>
          </w:p>
        </w:tc>
      </w:tr>
    </w:tbl>
    <w:p>
      <w:pPr>
        <w:spacing w:after="20"/>
      </w:pPr>
    </w:p>
    <w:p>
      <w:pPr>
        <w:pStyle w:val="Small"/>
      </w:pPr>
      <w:r>
        <w:t>Một công trình có thể cải tạo cục bộ phòng ngủ, đồng bộ bếp và vệ sinh, đồng thời xử lý chuyên sâu một khu có vấn đề. Phạm vi can thiệp và mức vật liệu được xác định độc lập.</w:t>
      </w:r>
    </w:p>
    <w:p>
      <w:pPr>
        <w:pStyle w:val="Heading2"/>
      </w:pPr>
      <w:r>
        <w:t>6.2 Nền kỹ thuật dùng chung cho các mức vật liệu</w:t>
      </w:r>
    </w:p>
    <w:tbl>
      <w:tblPr>
        <w:tblW w:type="auto" w:w="0"/>
        <w:jc w:val="center"/>
        <w:tblLayout w:type="fixed"/>
        <w:tblLook w:firstColumn="1" w:firstRow="1" w:lastColumn="0" w:lastRow="0" w:noHBand="0" w:noVBand="1" w:val="04A0"/>
      </w:tblPr>
      <w:tblGrid>
        <w:gridCol w:w="3154"/>
        <w:gridCol w:w="3154"/>
        <w:gridCol w:w="3154"/>
      </w:tblGrid>
      <w:tr>
        <w:trPr>
          <w:cantSplit/>
          <w:tblHeader/>
        </w:trPr>
        <w:tc>
          <w:tcPr>
            <w:tcW w:type="dxa" w:w="1656"/>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Hạng mục</w:t>
            </w:r>
          </w:p>
        </w:tc>
        <w:tc>
          <w:tcPr>
            <w:tcW w:type="dxa" w:w="4320"/>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Vật tư hoặc giải pháp tham chiếu</w:t>
            </w:r>
          </w:p>
        </w:tc>
        <w:tc>
          <w:tcPr>
            <w:tcW w:type="dxa" w:w="3384"/>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Cách kiểm soát</w:t>
            </w:r>
          </w:p>
        </w:tc>
      </w:tr>
      <w:tr>
        <w:trPr>
          <w:cantSplit/>
        </w:trPr>
        <w:tc>
          <w:tcPr>
            <w:tcW w:type="dxa" w:w="165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Kết cấu cần sửa</w:t>
            </w:r>
          </w:p>
        </w:tc>
        <w:tc>
          <w:tcPr>
            <w:tcW w:type="dxa" w:w="4320"/>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Thép, bê tông, vữa sửa chữa hoặc giải pháp gia cường theo hồ sơ chuyên môn; không mặc định thay toàn bộ.</w:t>
            </w:r>
          </w:p>
        </w:tc>
        <w:tc>
          <w:tcPr>
            <w:tcW w:type="dxa" w:w="3384"/>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Đánh giá nguyên nhân, khả năng chịu lực và biện pháp trước can thiệp.</w:t>
            </w:r>
          </w:p>
        </w:tc>
      </w:tr>
      <w:tr>
        <w:trPr>
          <w:cantSplit/>
        </w:trPr>
        <w:tc>
          <w:tcPr>
            <w:tcW w:type="dxa" w:w="165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Xây và trát bổ sung</w:t>
            </w:r>
          </w:p>
        </w:tc>
        <w:tc>
          <w:tcPr>
            <w:tcW w:type="dxa" w:w="4320"/>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Gạch/vữa theo thiết kế; xi măng Hoàng Long hoặc tương đương khi phù hợp; cát sạch.</w:t>
            </w:r>
          </w:p>
        </w:tc>
        <w:tc>
          <w:tcPr>
            <w:tcW w:type="dxa" w:w="3384"/>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Kiểm nền cũ, độ bám, cao độ, độ phẳng và tiếp giáp cũ mới.</w:t>
            </w:r>
          </w:p>
        </w:tc>
      </w:tr>
      <w:tr>
        <w:trPr>
          <w:cantSplit/>
        </w:trPr>
        <w:tc>
          <w:tcPr>
            <w:tcW w:type="dxa" w:w="165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Chống nứt và tiếp giáp</w:t>
            </w:r>
          </w:p>
        </w:tc>
        <w:tc>
          <w:tcPr>
            <w:tcW w:type="dxa" w:w="4320"/>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Lưới, vật liệu trám hoặc chi tiết xử lý theo nguyên nhân và vị trí.</w:t>
            </w:r>
          </w:p>
        </w:tc>
        <w:tc>
          <w:tcPr>
            <w:tcW w:type="dxa" w:w="3384"/>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Không che hiện tượng nứt khi chưa xác định phạm vi xử lý.</w:t>
            </w:r>
          </w:p>
        </w:tc>
      </w:tr>
      <w:tr>
        <w:trPr>
          <w:cantSplit/>
        </w:trPr>
        <w:tc>
          <w:tcPr>
            <w:tcW w:type="dxa" w:w="165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Chống thấm khu ướt</w:t>
            </w:r>
          </w:p>
        </w:tc>
        <w:tc>
          <w:tcPr>
            <w:tcW w:type="dxa" w:w="4320"/>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SikaTop-107 Seal VN hoặc hệ phù hợp nền và nguyên nhân thấm; bổ sung xử lý cổ ống, góc, khe theo biện pháp.</w:t>
            </w:r>
          </w:p>
        </w:tc>
        <w:tc>
          <w:tcPr>
            <w:tcW w:type="dxa" w:w="3384"/>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Khóa phạm vi bóc nền, chuẩn bị bề mặt, định mức và cách thử trước che phủ.</w:t>
            </w:r>
          </w:p>
        </w:tc>
      </w:tr>
      <w:tr>
        <w:trPr>
          <w:cantSplit/>
        </w:trPr>
        <w:tc>
          <w:tcPr>
            <w:tcW w:type="dxa" w:w="165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Tường ngoài nếu có</w:t>
            </w:r>
          </w:p>
        </w:tc>
        <w:tc>
          <w:tcPr>
            <w:tcW w:type="dxa" w:w="4320"/>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KOVA CT-11A Plus hoặc hệ phù hợp bề mặt và điều kiện tiếp cận.</w:t>
            </w:r>
          </w:p>
        </w:tc>
        <w:tc>
          <w:tcPr>
            <w:tcW w:type="dxa" w:w="3384"/>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Làm rõ nguồn thấm và vùng cần xử lý; không chỉ sơn phủ dấu thấm.</w:t>
            </w:r>
          </w:p>
        </w:tc>
      </w:tr>
      <w:tr>
        <w:trPr>
          <w:cantSplit/>
        </w:trPr>
        <w:tc>
          <w:tcPr>
            <w:tcW w:type="dxa" w:w="165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Điện âm thay mới</w:t>
            </w:r>
          </w:p>
        </w:tc>
        <w:tc>
          <w:tcPr>
            <w:tcW w:type="dxa" w:w="4320"/>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Dây Trần Phú Phương Liệt hoặc tương đương; ống SINO hoặc tương đương; tiết diện, bảo vệ theo tải và hồ sơ.</w:t>
            </w:r>
          </w:p>
        </w:tc>
        <w:tc>
          <w:tcPr>
            <w:tcW w:type="dxa" w:w="3384"/>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Phân rõ phần giữ và thay, kiểm tra đấu nối, thử phù hợp và chụp tuyến.</w:t>
            </w:r>
          </w:p>
        </w:tc>
      </w:tr>
      <w:tr>
        <w:trPr>
          <w:cantSplit/>
        </w:trPr>
        <w:tc>
          <w:tcPr>
            <w:tcW w:type="dxa" w:w="165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Cấp và thoát nước thay mới</w:t>
            </w:r>
          </w:p>
        </w:tc>
        <w:tc>
          <w:tcPr>
            <w:tcW w:type="dxa" w:w="4320"/>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Ống Tiền Phong hoặc tương đương; vật liệu, đường kính, cấp áp lực theo nhiệt độ, áp lực và hồ sơ.</w:t>
            </w:r>
          </w:p>
        </w:tc>
        <w:tc>
          <w:tcPr>
            <w:tcW w:type="dxa" w:w="3384"/>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Kiểm tra giao diện ống cũ mới; thử áp, độ kín và thoát theo phạm vi.</w:t>
            </w:r>
          </w:p>
        </w:tc>
      </w:tr>
      <w:tr>
        <w:trPr>
          <w:cantSplit/>
        </w:trPr>
        <w:tc>
          <w:tcPr>
            <w:tcW w:type="dxa" w:w="165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Điều hòa và thông gió</w:t>
            </w:r>
          </w:p>
        </w:tc>
        <w:tc>
          <w:tcPr>
            <w:tcW w:type="dxa" w:w="4320"/>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Ống đồng Toàn Phát hoặc tương đương, bảo ôn, thoát nước ngưng và ống thông gió theo thiết kế.</w:t>
            </w:r>
          </w:p>
        </w:tc>
        <w:tc>
          <w:tcPr>
            <w:tcW w:type="dxa" w:w="3384"/>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Xác nhận điểm chờ, tuyến, thiết bị giữ lại và phạm vi thử trước che.</w:t>
            </w:r>
          </w:p>
        </w:tc>
      </w:tr>
    </w:tbl>
    <w:p>
      <w:pPr>
        <w:spacing w:after="20"/>
      </w:pPr>
    </w:p>
    <w:p>
      <w:pPr>
        <w:pStyle w:val="Small"/>
      </w:pPr>
      <w:r>
        <w:t>Các tên vật tư trên là nguồn tham chiếu từ danh mục NAMI. Chủng loại cuối cùng được chọn theo hiện trạng, hồ sơ và hướng dẫn sản phẩm. Phần đang giữ lại chỉ được xác nhận trong giới hạn khảo sát, kiểm tra đã thực hiện.</w:t>
      </w:r>
    </w:p>
    <w:p>
      <w:pPr>
        <w:pStyle w:val="Heading2"/>
      </w:pPr>
      <w:r>
        <w:t>6.3 Ba mức vật liệu hoàn thiện kiến trúc</w:t>
      </w:r>
    </w:p>
    <w:tbl>
      <w:tblPr>
        <w:tblW w:type="auto" w:w="0"/>
        <w:jc w:val="center"/>
        <w:tblLayout w:type="fixed"/>
        <w:tblLook w:firstColumn="1" w:firstRow="1" w:lastColumn="0" w:lastRow="0" w:noHBand="0" w:noVBand="1" w:val="04A0"/>
      </w:tblPr>
      <w:tblGrid>
        <w:gridCol w:w="2365"/>
        <w:gridCol w:w="2365"/>
        <w:gridCol w:w="2365"/>
        <w:gridCol w:w="2365"/>
      </w:tblGrid>
      <w:tr>
        <w:trPr>
          <w:cantSplit/>
          <w:tblHeader/>
        </w:trPr>
        <w:tc>
          <w:tcPr>
            <w:tcW w:type="dxa" w:w="1469"/>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Hạng mục</w:t>
            </w:r>
          </w:p>
        </w:tc>
        <w:tc>
          <w:tcPr>
            <w:tcW w:type="dxa" w:w="2606"/>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A. Thực dụng</w:t>
            </w:r>
          </w:p>
        </w:tc>
        <w:tc>
          <w:tcPr>
            <w:tcW w:type="dxa" w:w="2606"/>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B. Cân bằng</w:t>
            </w:r>
          </w:p>
        </w:tc>
        <w:tc>
          <w:tcPr>
            <w:tcW w:type="dxa" w:w="2678"/>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C. Nâng cao</w:t>
            </w:r>
          </w:p>
        </w:tc>
      </w:tr>
      <w:tr>
        <w:trPr>
          <w:cantSplit/>
        </w:trPr>
        <w:tc>
          <w:tcPr>
            <w:tcW w:type="dxa" w:w="1469"/>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Gạch nền khô</w:t>
            </w:r>
          </w:p>
        </w:tc>
        <w:tc>
          <w:tcPr>
            <w:tcW w:type="dxa" w:w="260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Viglacera/Prime/Tasa hoặc tương đương; mẫu phổ biến, kích thước phù hợp.</w:t>
            </w:r>
          </w:p>
        </w:tc>
        <w:tc>
          <w:tcPr>
            <w:tcW w:type="dxa" w:w="260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Dòng nâng cấp trong hạn mức; phối màu và bố trí đồng bộ.</w:t>
            </w:r>
          </w:p>
        </w:tc>
        <w:tc>
          <w:tcPr>
            <w:tcW w:type="dxa" w:w="267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Đồng Tâm hoặc các hãng trên, dòng/khổ đặc biệt theo thiết kế và hạn mức.</w:t>
            </w:r>
          </w:p>
        </w:tc>
      </w:tr>
      <w:tr>
        <w:trPr>
          <w:cantSplit/>
        </w:trPr>
        <w:tc>
          <w:tcPr>
            <w:tcW w:type="dxa" w:w="1469"/>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Gạch khu ướt</w:t>
            </w:r>
          </w:p>
        </w:tc>
        <w:tc>
          <w:tcPr>
            <w:tcW w:type="dxa" w:w="260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Gạch sàn có bề mặt phù hợp chống trượt; gạch tường dòng cơ bản.</w:t>
            </w:r>
          </w:p>
        </w:tc>
        <w:tc>
          <w:tcPr>
            <w:tcW w:type="dxa" w:w="260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Bộ gạch đồng bộ; chọn kích thước theo diện tích và độ dốc.</w:t>
            </w:r>
          </w:p>
        </w:tc>
        <w:tc>
          <w:tcPr>
            <w:tcW w:type="dxa" w:w="267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Dòng nâng cấp hoặc chi tiết phối riêng; vẫn kiểm soát chống trượt, thoát nước.</w:t>
            </w:r>
          </w:p>
        </w:tc>
      </w:tr>
      <w:tr>
        <w:trPr>
          <w:cantSplit/>
        </w:trPr>
        <w:tc>
          <w:tcPr>
            <w:tcW w:type="dxa" w:w="1469"/>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Trần</w:t>
            </w:r>
          </w:p>
        </w:tc>
        <w:tc>
          <w:tcPr>
            <w:tcW w:type="dxa" w:w="260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Vĩnh Tường/Gyproc, Knauf hoặc hệ tương đương; trần phẳng theo phạm vi.</w:t>
            </w:r>
          </w:p>
        </w:tc>
        <w:tc>
          <w:tcPr>
            <w:tcW w:type="dxa" w:w="260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Hệ trần đồng bộ, chi tiết ánh sáng theo thiết kế.</w:t>
            </w:r>
          </w:p>
        </w:tc>
        <w:tc>
          <w:tcPr>
            <w:tcW w:type="dxa" w:w="267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Chi tiết tạo hình/âm học hoặc hệ riêng khi có hồ sơ; tấm theo môi trường sử dụng.</w:t>
            </w:r>
          </w:p>
        </w:tc>
      </w:tr>
      <w:tr>
        <w:trPr>
          <w:cantSplit/>
        </w:trPr>
        <w:tc>
          <w:tcPr>
            <w:tcW w:type="dxa" w:w="1469"/>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Sơn trong nhà</w:t>
            </w:r>
          </w:p>
        </w:tc>
        <w:tc>
          <w:tcPr>
            <w:tcW w:type="dxa" w:w="260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TOA/Jotun/Dulux hoặc tương đương, dòng đáp ứng yêu cầu sử dụng.</w:t>
            </w:r>
          </w:p>
        </w:tc>
        <w:tc>
          <w:tcPr>
            <w:tcW w:type="dxa" w:w="260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Dòng có yêu cầu lau chùi cao hơn, chốt theo thông số sản phẩm.</w:t>
            </w:r>
          </w:p>
        </w:tc>
        <w:tc>
          <w:tcPr>
            <w:tcW w:type="dxa" w:w="267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Dòng/bề mặt đặc biệt theo thiết kế, chốt mã và mẫu trước làm.</w:t>
            </w:r>
          </w:p>
        </w:tc>
      </w:tr>
      <w:tr>
        <w:trPr>
          <w:cantSplit/>
        </w:trPr>
        <w:tc>
          <w:tcPr>
            <w:tcW w:type="dxa" w:w="1469"/>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Sơn ngoài nhà</w:t>
            </w:r>
          </w:p>
        </w:tc>
        <w:tc>
          <w:tcPr>
            <w:tcW w:type="dxa" w:w="260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Hệ sơn phù hợp điều kiện bề mặt và thời tiết, dòng phổ biến.</w:t>
            </w:r>
          </w:p>
        </w:tc>
        <w:tc>
          <w:tcPr>
            <w:tcW w:type="dxa" w:w="260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Dòng nâng cấp theo thông số, gồm lớp lót và xử lý nền trong phạm vi.</w:t>
            </w:r>
          </w:p>
        </w:tc>
        <w:tc>
          <w:tcPr>
            <w:tcW w:type="dxa" w:w="267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Hệ chuyên biệt hoặc hiệu ứng theo thiết kế và điều kiện nền.</w:t>
            </w:r>
          </w:p>
        </w:tc>
      </w:tr>
      <w:tr>
        <w:trPr>
          <w:cantSplit/>
        </w:trPr>
        <w:tc>
          <w:tcPr>
            <w:tcW w:type="dxa" w:w="1469"/>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Cửa trong nhà</w:t>
            </w:r>
          </w:p>
        </w:tc>
        <w:tc>
          <w:tcPr>
            <w:tcW w:type="dxa" w:w="260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Composite, nhôm kính hoặc vật liệu theo vị trí; cấu hình phổ biến.</w:t>
            </w:r>
          </w:p>
        </w:tc>
        <w:tc>
          <w:tcPr>
            <w:tcW w:type="dxa" w:w="260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Nâng cấp phụ kiện, bề mặt và độ đồng bộ theo mẫu.</w:t>
            </w:r>
          </w:p>
        </w:tc>
        <w:tc>
          <w:tcPr>
            <w:tcW w:type="dxa" w:w="267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Kích thước/chi tiết riêng theo hồ sơ, hạn mức và phụ kiện đã chốt.</w:t>
            </w:r>
          </w:p>
        </w:tc>
      </w:tr>
      <w:tr>
        <w:trPr>
          <w:cantSplit/>
        </w:trPr>
        <w:tc>
          <w:tcPr>
            <w:tcW w:type="dxa" w:w="1469"/>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Cửa ngoài và cửa sổ</w:t>
            </w:r>
          </w:p>
        </w:tc>
        <w:tc>
          <w:tcPr>
            <w:tcW w:type="dxa" w:w="260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Nhôm kính theo hồ sơ; có thể dùng Xingfa trong nước hoặc tương đương.</w:t>
            </w:r>
          </w:p>
        </w:tc>
        <w:tc>
          <w:tcPr>
            <w:tcW w:type="dxa" w:w="260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Xingfa Quảng Đông hoặc hệ tương đương theo phụ lục.</w:t>
            </w:r>
          </w:p>
        </w:tc>
        <w:tc>
          <w:tcPr>
            <w:tcW w:type="dxa" w:w="267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Cấu hình kính, phụ kiện, hệ cửa nâng cấp theo thiết kế.</w:t>
            </w:r>
          </w:p>
        </w:tc>
      </w:tr>
      <w:tr>
        <w:trPr>
          <w:cantSplit/>
        </w:trPr>
        <w:tc>
          <w:tcPr>
            <w:tcW w:type="dxa" w:w="1469"/>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Đá cầu thang nếu thay</w:t>
            </w:r>
          </w:p>
        </w:tc>
        <w:tc>
          <w:tcPr>
            <w:tcW w:type="dxa" w:w="260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Granite phổ biến, chốt chiều dày và mẫu.</w:t>
            </w:r>
          </w:p>
        </w:tc>
        <w:tc>
          <w:tcPr>
            <w:tcW w:type="dxa" w:w="260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Đá kim sa hoặc mẫu trong hạn mức.</w:t>
            </w:r>
          </w:p>
        </w:tc>
        <w:tc>
          <w:tcPr>
            <w:tcW w:type="dxa" w:w="267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Đá/dòng nâng cấp, chi tiết riêng theo hồ sơ.</w:t>
            </w:r>
          </w:p>
        </w:tc>
      </w:tr>
    </w:tbl>
    <w:p>
      <w:pPr>
        <w:spacing w:after="20"/>
      </w:pPr>
    </w:p>
    <w:p>
      <w:pPr>
        <w:pStyle w:val="Small"/>
      </w:pPr>
      <w:r>
        <w:t>A/B/C là mức lựa chọn theo dòng sản phẩm và hạn mức đã chốt. Một thương hiệu có nhiều dòng ở các mức khác nhau. Khổ gạch, màu sơn, hệ trần và cửa chỉ được đặt sau khi xác nhận nền, kích thước, tải trọng và điều kiện lắp đặt.</w:t>
      </w:r>
    </w:p>
    <w:p>
      <w:pPr>
        <w:pStyle w:val="Heading2"/>
      </w:pPr>
      <w:r>
        <w:t>6.4 Ba mức thiết bị điện nước cơ bản</w:t>
      </w:r>
    </w:p>
    <w:tbl>
      <w:tblPr>
        <w:tblW w:type="auto" w:w="0"/>
        <w:jc w:val="center"/>
        <w:tblLayout w:type="fixed"/>
        <w:tblLook w:firstColumn="1" w:firstRow="1" w:lastColumn="0" w:lastRow="0" w:noHBand="0" w:noVBand="1" w:val="04A0"/>
      </w:tblPr>
      <w:tblGrid>
        <w:gridCol w:w="2365"/>
        <w:gridCol w:w="2365"/>
        <w:gridCol w:w="2365"/>
        <w:gridCol w:w="2365"/>
      </w:tblGrid>
      <w:tr>
        <w:trPr>
          <w:cantSplit/>
          <w:tblHeader/>
        </w:trPr>
        <w:tc>
          <w:tcPr>
            <w:tcW w:type="dxa" w:w="1469"/>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Hạng mục</w:t>
            </w:r>
          </w:p>
        </w:tc>
        <w:tc>
          <w:tcPr>
            <w:tcW w:type="dxa" w:w="2606"/>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A. Thực dụng</w:t>
            </w:r>
          </w:p>
        </w:tc>
        <w:tc>
          <w:tcPr>
            <w:tcW w:type="dxa" w:w="2606"/>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B. Cân bằng</w:t>
            </w:r>
          </w:p>
        </w:tc>
        <w:tc>
          <w:tcPr>
            <w:tcW w:type="dxa" w:w="2678"/>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C. Nâng cao</w:t>
            </w:r>
          </w:p>
        </w:tc>
      </w:tr>
      <w:tr>
        <w:trPr>
          <w:cantSplit/>
        </w:trPr>
        <w:tc>
          <w:tcPr>
            <w:tcW w:type="dxa" w:w="1469"/>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Công tắc và ổ cắm</w:t>
            </w:r>
          </w:p>
        </w:tc>
        <w:tc>
          <w:tcPr>
            <w:tcW w:type="dxa" w:w="260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SINO hoặc tương đương, dòng theo danh mục.</w:t>
            </w:r>
          </w:p>
        </w:tc>
        <w:tc>
          <w:tcPr>
            <w:tcW w:type="dxa" w:w="260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Panasonic hoặc tương đương, cấu hình đã chọn.</w:t>
            </w:r>
          </w:p>
        </w:tc>
        <w:tc>
          <w:tcPr>
            <w:tcW w:type="dxa" w:w="267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Panasonic/Schneider/Legrand hoặc tương đương, dòng nâng cấp.</w:t>
            </w:r>
          </w:p>
        </w:tc>
      </w:tr>
      <w:tr>
        <w:trPr>
          <w:cantSplit/>
        </w:trPr>
        <w:tc>
          <w:tcPr>
            <w:tcW w:type="dxa" w:w="1469"/>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Đèn cơ bản</w:t>
            </w:r>
          </w:p>
        </w:tc>
        <w:tc>
          <w:tcPr>
            <w:tcW w:type="dxa" w:w="260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Rạng Đông hoặc tương đương, đúng công năng.</w:t>
            </w:r>
          </w:p>
        </w:tc>
        <w:tc>
          <w:tcPr>
            <w:tcW w:type="dxa" w:w="260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Rạng Đông/KingLED hoặc tương đương, bố trí đồng bộ.</w:t>
            </w:r>
          </w:p>
        </w:tc>
        <w:tc>
          <w:tcPr>
            <w:tcW w:type="dxa" w:w="267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Dòng nâng cấp theo thông số và thiết kế ánh sáng.</w:t>
            </w:r>
          </w:p>
        </w:tc>
      </w:tr>
      <w:tr>
        <w:trPr>
          <w:cantSplit/>
        </w:trPr>
        <w:tc>
          <w:tcPr>
            <w:tcW w:type="dxa" w:w="1469"/>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Thiết bị vệ sinh</w:t>
            </w:r>
          </w:p>
        </w:tc>
        <w:tc>
          <w:tcPr>
            <w:tcW w:type="dxa" w:w="260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Viglacera hoặc tương đương theo hạn mức.</w:t>
            </w:r>
          </w:p>
        </w:tc>
        <w:tc>
          <w:tcPr>
            <w:tcW w:type="dxa" w:w="260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Viglacera/INAX hoặc tương đương theo model.</w:t>
            </w:r>
          </w:p>
        </w:tc>
        <w:tc>
          <w:tcPr>
            <w:tcW w:type="dxa" w:w="267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INAX/TOTO hoặc tương đương theo model và hạn mức.</w:t>
            </w:r>
          </w:p>
        </w:tc>
      </w:tr>
      <w:tr>
        <w:trPr>
          <w:cantSplit/>
        </w:trPr>
        <w:tc>
          <w:tcPr>
            <w:tcW w:type="dxa" w:w="1469"/>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Bình nóng lạnh</w:t>
            </w:r>
          </w:p>
        </w:tc>
        <w:tc>
          <w:tcPr>
            <w:tcW w:type="dxa" w:w="260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Rossi hoặc tương đương; dung tích theo nhu cầu.</w:t>
            </w:r>
          </w:p>
        </w:tc>
        <w:tc>
          <w:tcPr>
            <w:tcW w:type="dxa" w:w="260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Ariston hoặc tương đương theo dung tích/model.</w:t>
            </w:r>
          </w:p>
        </w:tc>
        <w:tc>
          <w:tcPr>
            <w:tcW w:type="dxa" w:w="267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Dòng nâng cấp hoặc hệ riêng khi có thiết kế phù hợp.</w:t>
            </w:r>
          </w:p>
        </w:tc>
      </w:tr>
      <w:tr>
        <w:trPr>
          <w:cantSplit/>
        </w:trPr>
        <w:tc>
          <w:tcPr>
            <w:tcW w:type="dxa" w:w="1469"/>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Bồn và bơm nếu thay</w:t>
            </w:r>
          </w:p>
        </w:tc>
        <w:tc>
          <w:tcPr>
            <w:tcW w:type="dxa" w:w="260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Sơn Hà, Panasonic hoặc tương đương theo nhu cầu.</w:t>
            </w:r>
          </w:p>
        </w:tc>
        <w:tc>
          <w:tcPr>
            <w:tcW w:type="dxa" w:w="260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Cấu hình chọn theo dung tích, áp lực và tải dùng.</w:t>
            </w:r>
          </w:p>
        </w:tc>
        <w:tc>
          <w:tcPr>
            <w:tcW w:type="dxa" w:w="267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Hệ nâng cấp theo tính toán; không mặc định tăng công suất.</w:t>
            </w:r>
          </w:p>
        </w:tc>
      </w:tr>
    </w:tbl>
    <w:p>
      <w:pPr>
        <w:spacing w:after="20"/>
      </w:pPr>
    </w:p>
    <w:p>
      <w:pPr>
        <w:pStyle w:val="Small"/>
      </w:pPr>
      <w:r>
        <w:t>Thiết bị bảo vệ điện được chọn theo thiết kế và điều kiện hệ thống ở mọi mức. Các thiết bị chỉ thuộc gói khi có số lượng, model và dòng riêng trong báo giá. Máy điều hòa, thiết bị bếp, lọc tổng, nhà thông minh và đồ nội thất được xác định riêng.</w:t>
      </w:r>
    </w:p>
    <w:p>
      <w:pPr>
        <w:pStyle w:val="Heading2"/>
      </w:pPr>
      <w:r>
        <w:t>6.5 Chốt vật liệu trước đặt hàng</w:t>
      </w:r>
    </w:p>
    <w:p>
      <w:r>
        <w:t>Mỗi hạng mục thay mới phải có vị trí, khối lượng, thương hiệu, dòng/mã, quy cách, màu/mẫu, phụ kiện, đơn giá hoặc hạn mức và điều kiện thay thế. Trước đặt hàng, Anh/Chị xác nhận mẫu cùng phạm vi xử lý nền cũ liên quan. NAMI thông báo chênh lệch vật tư, nhân công, vận chuyển và tiến độ trước khi Anh/Chị chọn nâng cấp.</w:t>
      </w:r>
    </w:p>
    <w:p>
      <w:pPr>
        <w:pStyle w:val="Eyebrow"/>
        <w:pageBreakBefore/>
      </w:pPr>
      <w:r>
        <w:t>MODULE 07</w:t>
      </w:r>
    </w:p>
    <w:p>
      <w:pPr>
        <w:pStyle w:val="Heading1"/>
      </w:pPr>
      <w:r>
        <w:t>Những gì chưa bao gồm</w:t>
      </w:r>
    </w:p>
    <w:p>
      <w:r>
        <w:t>Các phần dưới đây chỉ được nhận khi có dòng riêng, đủ hồ sơ và điều kiện triển khai. Chọn A/B/C không tự động bổ sung hạng mục đang chưa bao gồm.</w:t>
      </w:r>
    </w:p>
    <w:tbl>
      <w:tblPr>
        <w:tblW w:type="auto" w:w="0"/>
        <w:jc w:val="center"/>
        <w:tblLayout w:type="fixed"/>
        <w:tblLook w:firstColumn="1" w:firstRow="1" w:lastColumn="0" w:lastRow="0" w:noHBand="0" w:noVBand="1" w:val="04A0"/>
      </w:tblPr>
      <w:tblGrid>
        <w:gridCol w:w="4730"/>
        <w:gridCol w:w="4730"/>
      </w:tblGrid>
      <w:tr>
        <w:trPr>
          <w:cantSplit/>
          <w:tblHeader/>
        </w:trPr>
        <w:tc>
          <w:tcPr>
            <w:tcW w:type="dxa" w:w="2448"/>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Nhóm</w:t>
            </w:r>
          </w:p>
        </w:tc>
        <w:tc>
          <w:tcPr>
            <w:tcW w:type="dxa" w:w="6912"/>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Nội dung cần xác định riêng</w:t>
            </w:r>
          </w:p>
        </w:tc>
      </w:tr>
      <w:tr>
        <w:trPr>
          <w:cantSplit/>
        </w:trPr>
        <w:tc>
          <w:tcPr>
            <w:tcW w:type="dxa" w:w="244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Kiểm tra chuyên sâu</w:t>
            </w:r>
          </w:p>
        </w:tc>
        <w:tc>
          <w:tcPr>
            <w:tcW w:type="dxa" w:w="6912"/>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Đánh giá kết cấu, thí nghiệm vật liệu, kiểm tra hệ âm, mở kiểm tra ngoài vị trí đã chốt.</w:t>
            </w:r>
          </w:p>
        </w:tc>
      </w:tr>
      <w:tr>
        <w:trPr>
          <w:cantSplit/>
        </w:trPr>
        <w:tc>
          <w:tcPr>
            <w:tcW w:type="dxa" w:w="244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Can thiệp lớn</w:t>
            </w:r>
          </w:p>
        </w:tc>
        <w:tc>
          <w:tcPr>
            <w:tcW w:type="dxa" w:w="6912"/>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Gia cường móng/cột/dầm/sàn, nâng tầng, xử lý sụt lún hoặc nhà liền kề.</w:t>
            </w:r>
          </w:p>
        </w:tc>
      </w:tr>
      <w:tr>
        <w:trPr>
          <w:cantSplit/>
        </w:trPr>
        <w:tc>
          <w:tcPr>
            <w:tcW w:type="dxa" w:w="244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Nền cũ ngoài phạm vi</w:t>
            </w:r>
          </w:p>
        </w:tc>
        <w:tc>
          <w:tcPr>
            <w:tcW w:type="dxa" w:w="6912"/>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Bóc thêm lớp, thay hệ ẩn, sửa thấm từ vùng chưa khảo sát; chỉ bổ sung sau ghi nhận và xác nhận.</w:t>
            </w:r>
          </w:p>
        </w:tc>
      </w:tr>
      <w:tr>
        <w:trPr>
          <w:cantSplit/>
        </w:trPr>
        <w:tc>
          <w:tcPr>
            <w:tcW w:type="dxa" w:w="244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Thủ tục và điều kiện thi công</w:t>
            </w:r>
          </w:p>
        </w:tc>
        <w:tc>
          <w:tcPr>
            <w:tcW w:type="dxa" w:w="6912"/>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Hồ sơ, phí, ký quỹ, giàn giáo hoặc tiếp cận đặc biệt, di dời người/tài sản, thuê chỗ ở.</w:t>
            </w:r>
          </w:p>
        </w:tc>
      </w:tr>
      <w:tr>
        <w:trPr>
          <w:cantSplit/>
        </w:trPr>
        <w:tc>
          <w:tcPr>
            <w:tcW w:type="dxa" w:w="244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Hạng mục tùy chọn</w:t>
            </w:r>
          </w:p>
        </w:tc>
        <w:tc>
          <w:tcPr>
            <w:tcW w:type="dxa" w:w="6912"/>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Sân vườn, mặt tiền đặc biệt, bếp, điều hòa, đồ rời, công nghệ và thiết bị ngoài bảng chọn.</w:t>
            </w:r>
          </w:p>
        </w:tc>
      </w:tr>
    </w:tbl>
    <w:p>
      <w:pPr>
        <w:spacing w:after="20"/>
      </w:pPr>
    </w:p>
    <w:p>
      <w:r>
        <w:t>Khi có dấu hiệu nguy hiểm hoặc chưa xác định nguyên nhân hư hỏng, NAMI tạm dừng phần liên quan để làm rõ giải pháp trước khi tiếp tục.</w:t>
      </w:r>
    </w:p>
    <w:p>
      <w:pPr>
        <w:pStyle w:val="Eyebrow"/>
      </w:pPr>
      <w:r>
        <w:t>MODULE 08</w:t>
      </w:r>
    </w:p>
    <w:p>
      <w:pPr>
        <w:pStyle w:val="Heading1"/>
      </w:pPr>
      <w:r>
        <w:t>Năm cổng kiểm soát chất lượng</w:t>
      </w:r>
    </w:p>
    <w:p>
      <w:r>
        <w:t>Các cổng kiểm tra giúp Anh/Chị thấy rõ chất lượng và điều kiện chuyển bước, đặc biệt ở phần sẽ bị che khuất.</w:t>
      </w:r>
    </w:p>
    <w:tbl>
      <w:tblPr>
        <w:tblW w:type="auto" w:w="0"/>
        <w:jc w:val="center"/>
        <w:tblLayout w:type="fixed"/>
        <w:tblLook w:firstColumn="1" w:firstRow="1" w:lastColumn="0" w:lastRow="0" w:noHBand="0" w:noVBand="1" w:val="04A0"/>
      </w:tblPr>
      <w:tblGrid>
        <w:gridCol w:w="3154"/>
        <w:gridCol w:w="3154"/>
        <w:gridCol w:w="3154"/>
      </w:tblGrid>
      <w:tr>
        <w:trPr>
          <w:cantSplit/>
          <w:tblHeader/>
        </w:trPr>
        <w:tc>
          <w:tcPr>
            <w:tcW w:type="dxa" w:w="1656"/>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Cổng</w:t>
            </w:r>
          </w:p>
        </w:tc>
        <w:tc>
          <w:tcPr>
            <w:tcW w:type="dxa" w:w="4248"/>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Nội dung kiểm tra</w:t>
            </w:r>
          </w:p>
        </w:tc>
        <w:tc>
          <w:tcPr>
            <w:tcW w:type="dxa" w:w="3456"/>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Bằng chứng</w:t>
            </w:r>
          </w:p>
        </w:tc>
      </w:tr>
      <w:tr>
        <w:trPr>
          <w:cantSplit/>
        </w:trPr>
        <w:tc>
          <w:tcPr>
            <w:tcW w:type="dxa" w:w="165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1. Hiện trạng</w:t>
            </w:r>
          </w:p>
        </w:tc>
        <w:tc>
          <w:tcPr>
            <w:tcW w:type="dxa" w:w="424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Kích thước, hư hỏng, phần giữ lại, giới hạn khảo sát và vùng chưa kiểm tra.</w:t>
            </w:r>
          </w:p>
        </w:tc>
        <w:tc>
          <w:tcPr>
            <w:tcW w:type="dxa" w:w="345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Biên bản, ảnh và danh mục giữ/sửa/thay.</w:t>
            </w:r>
          </w:p>
        </w:tc>
      </w:tr>
      <w:tr>
        <w:trPr>
          <w:cantSplit/>
        </w:trPr>
        <w:tc>
          <w:tcPr>
            <w:tcW w:type="dxa" w:w="165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2. Sau mở kiểm tra</w:t>
            </w:r>
          </w:p>
        </w:tc>
        <w:tc>
          <w:tcPr>
            <w:tcW w:type="dxa" w:w="424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Nền và hệ âm thực tế so với giả định ban đầu; tác động tới phạm vi.</w:t>
            </w:r>
          </w:p>
        </w:tc>
        <w:tc>
          <w:tcPr>
            <w:tcW w:type="dxa" w:w="345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Ảnh, biên bản phát hiện và xác nhận phần bổ sung.</w:t>
            </w:r>
          </w:p>
        </w:tc>
      </w:tr>
      <w:tr>
        <w:trPr>
          <w:cantSplit/>
        </w:trPr>
        <w:tc>
          <w:tcPr>
            <w:tcW w:type="dxa" w:w="165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3. Trước che phủ</w:t>
            </w:r>
          </w:p>
        </w:tc>
        <w:tc>
          <w:tcPr>
            <w:tcW w:type="dxa" w:w="424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Sửa chữa kỹ thuật, chống thấm, điện nước, đấu nối cũ mới.</w:t>
            </w:r>
          </w:p>
        </w:tc>
        <w:tc>
          <w:tcPr>
            <w:tcW w:type="dxa" w:w="345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Kết quả thử/kiểm tra và ảnh trước che phủ.</w:t>
            </w:r>
          </w:p>
        </w:tc>
      </w:tr>
      <w:tr>
        <w:trPr>
          <w:cantSplit/>
        </w:trPr>
        <w:tc>
          <w:tcPr>
            <w:tcW w:type="dxa" w:w="165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4. Mẫu và vật liệu</w:t>
            </w:r>
          </w:p>
        </w:tc>
        <w:tc>
          <w:tcPr>
            <w:tcW w:type="dxa" w:w="424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Model, quy cách, mẫu, phụ kiện, vị trí và hạn mức; kiểm nền trước hoàn thiện.</w:t>
            </w:r>
          </w:p>
        </w:tc>
        <w:tc>
          <w:tcPr>
            <w:tcW w:type="dxa" w:w="3456"/>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Phụ lục vật liệu và mẫu được duyệt.</w:t>
            </w:r>
          </w:p>
        </w:tc>
      </w:tr>
      <w:tr>
        <w:trPr>
          <w:cantSplit/>
        </w:trPr>
        <w:tc>
          <w:tcPr>
            <w:tcW w:type="dxa" w:w="165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5. Bàn giao</w:t>
            </w:r>
          </w:p>
        </w:tc>
        <w:tc>
          <w:tcPr>
            <w:tcW w:type="dxa" w:w="424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Vận hành, bề mặt, độ kín/thoát, tiếp giáp và tồn tại.</w:t>
            </w:r>
          </w:p>
        </w:tc>
        <w:tc>
          <w:tcPr>
            <w:tcW w:type="dxa" w:w="3456"/>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Biên bản, danh sách tồn tại và xác nhận khắc phục.</w:t>
            </w:r>
          </w:p>
        </w:tc>
      </w:tr>
    </w:tbl>
    <w:p>
      <w:pPr>
        <w:spacing w:after="20"/>
      </w:pPr>
    </w:p>
    <w:p>
      <w:pPr>
        <w:pStyle w:val="Small"/>
      </w:pPr>
      <w:r>
        <w:t>Trong phạm vi hợp đồng: mọi vật liệu đặt mua có mã hoặc quy cách được duyệt; mọi phần kỹ thuật thi công sẽ bị che phủ có kiểm tra; mọi thay đổi làm tăng chi phí được xác nhận trước khi thực hiện. Lịch nghiệm thu và thời hạn xử lý tồn tại được ghi theo từng công trình.</w:t>
      </w:r>
    </w:p>
    <w:p>
      <w:pPr>
        <w:pStyle w:val="Eyebrow"/>
        <w:pageBreakBefore/>
      </w:pPr>
      <w:r>
        <w:t>MODULE 09</w:t>
      </w:r>
    </w:p>
    <w:p>
      <w:pPr>
        <w:pStyle w:val="Heading1"/>
      </w:pPr>
      <w:r>
        <w:t>Quy trình sáu mốc</w:t>
      </w:r>
    </w:p>
    <w:tbl>
      <w:tblPr>
        <w:tblW w:type="auto" w:w="0"/>
        <w:jc w:val="center"/>
        <w:tblLayout w:type="fixed"/>
        <w:tblLook w:firstColumn="1" w:firstRow="1" w:lastColumn="0" w:lastRow="0" w:noHBand="0" w:noVBand="1" w:val="04A0"/>
      </w:tblPr>
      <w:tblGrid>
        <w:gridCol w:w="1800"/>
        <w:gridCol w:w="3672"/>
        <w:gridCol w:w="3888"/>
      </w:tblGrid>
      <w:tr>
        <w:trPr>
          <w:tblHeader w:val="true"/>
          <w:cantSplit/>
        </w:trPr>
        <w:tc>
          <w:tcPr>
            <w:tcW w:type="dxa" w:w="1800"/>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Mốc</w:t>
            </w:r>
          </w:p>
        </w:tc>
        <w:tc>
          <w:tcPr>
            <w:tcW w:type="dxa" w:w="3672"/>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NAMI thực hiện</w:t>
            </w:r>
          </w:p>
        </w:tc>
        <w:tc>
          <w:tcPr>
            <w:tcW w:type="dxa" w:w="3888"/>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Anh/Chị nhận được</w:t>
            </w:r>
          </w:p>
        </w:tc>
      </w:tr>
      <w:tr>
        <w:trPr>
          <w:cantSplit/>
        </w:trPr>
        <w:tc>
          <w:tcPr>
            <w:tcW w:type="dxa" w:w="1800"/>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1. Tiếp nhận</w:t>
            </w:r>
          </w:p>
        </w:tc>
        <w:tc>
          <w:tcPr>
            <w:tcW w:type="dxa" w:w="3672"/>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Làm rõ mục tiêu, ngân sách, thời điểm sử dụng và vấn đề hiện hữu.</w:t>
            </w:r>
          </w:p>
        </w:tc>
        <w:tc>
          <w:tcPr>
            <w:tcW w:type="dxa" w:w="3888"/>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Danh mục nhu cầu ưu tiên.</w:t>
            </w:r>
          </w:p>
        </w:tc>
      </w:tr>
      <w:tr>
        <w:trPr>
          <w:cantSplit/>
        </w:trPr>
        <w:tc>
          <w:tcPr>
            <w:tcW w:type="dxa" w:w="1800"/>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2. Khảo sát</w:t>
            </w:r>
          </w:p>
        </w:tc>
        <w:tc>
          <w:tcPr>
            <w:tcW w:type="dxa" w:w="3672"/>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Rà hiện trạng, hồ sơ cũ, điều kiện tiếp cận và giới hạn can thiệp.</w:t>
            </w:r>
          </w:p>
        </w:tc>
        <w:tc>
          <w:tcPr>
            <w:tcW w:type="dxa" w:w="3888"/>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Biên bản hiện trạng và rủi ro.</w:t>
            </w:r>
          </w:p>
        </w:tc>
      </w:tr>
      <w:tr>
        <w:trPr>
          <w:cantSplit/>
        </w:trPr>
        <w:tc>
          <w:tcPr>
            <w:tcW w:type="dxa" w:w="1800"/>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3. Giải pháp và báo giá</w:t>
            </w:r>
          </w:p>
        </w:tc>
        <w:tc>
          <w:tcPr>
            <w:tcW w:type="dxa" w:w="3672"/>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Đề xuất giữ, sửa, thay; bản vẽ, khái toán/BOQ và phần chưa chắc chắn.</w:t>
            </w:r>
          </w:p>
        </w:tc>
        <w:tc>
          <w:tcPr>
            <w:tcW w:type="dxa" w:w="3888"/>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Phương án để chọn phạm vi và ngân sách.</w:t>
            </w:r>
          </w:p>
        </w:tc>
      </w:tr>
      <w:tr>
        <w:trPr>
          <w:cantSplit/>
        </w:trPr>
        <w:tc>
          <w:tcPr>
            <w:tcW w:type="dxa" w:w="1800"/>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4. Hợp đồng và chuẩn bị</w:t>
            </w:r>
          </w:p>
        </w:tc>
        <w:tc>
          <w:tcPr>
            <w:tcW w:type="dxa" w:w="3672"/>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Chốt vật liệu, tiến độ, thanh toán, bảo vệ tài sản và điểm mở kiểm tra.</w:t>
            </w:r>
          </w:p>
        </w:tc>
        <w:tc>
          <w:tcPr>
            <w:tcW w:type="dxa" w:w="3888"/>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Căn cứ triển khai.</w:t>
            </w:r>
          </w:p>
        </w:tc>
      </w:tr>
      <w:tr>
        <w:trPr>
          <w:cantSplit/>
        </w:trPr>
        <w:tc>
          <w:tcPr>
            <w:tcW w:type="dxa" w:w="1800"/>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5. Tháo dỡ và thi công</w:t>
            </w:r>
          </w:p>
        </w:tc>
        <w:tc>
          <w:tcPr>
            <w:tcW w:type="dxa" w:w="3672"/>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Mở kiểm tra, thông báo phát hiện, làm theo phạm vi duyệt và nghiệm thu.</w:t>
            </w:r>
          </w:p>
        </w:tc>
        <w:tc>
          <w:tcPr>
            <w:tcW w:type="dxa" w:w="3888"/>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Cập nhật theo mốc và hồ sơ thay đổi.</w:t>
            </w:r>
          </w:p>
        </w:tc>
      </w:tr>
      <w:tr>
        <w:trPr>
          <w:cantSplit/>
        </w:trPr>
        <w:tc>
          <w:tcPr>
            <w:tcW w:type="dxa" w:w="1800"/>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6. Bàn giao</w:t>
            </w:r>
          </w:p>
        </w:tc>
        <w:tc>
          <w:tcPr>
            <w:tcW w:type="dxa" w:w="3672"/>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Kiểm tra vận hành, xử lý tồn tại, quyết toán và hướng dẫn dùng.</w:t>
            </w:r>
          </w:p>
        </w:tc>
        <w:tc>
          <w:tcPr>
            <w:tcW w:type="dxa" w:w="3888"/>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Nhà sau cải tạo và hồ sơ bảo hành.</w:t>
            </w:r>
          </w:p>
        </w:tc>
      </w:tr>
    </w:tbl>
    <w:p>
      <w:pPr>
        <w:spacing w:after="0"/>
      </w:pPr>
    </w:p>
    <w:p>
      <w:pPr>
        <w:pStyle w:val="Eyebrow"/>
      </w:pPr>
      <w:r>
        <w:t>MODULE 10</w:t>
      </w:r>
    </w:p>
    <w:p>
      <w:pPr>
        <w:pStyle w:val="Heading1"/>
      </w:pPr>
      <w:r>
        <w:t>Anh/Chị cần phối hợp gì?</w:t>
      </w:r>
    </w:p>
    <w:p>
      <w:pPr>
        <w:ind w:left="259" w:hanging="173"/>
      </w:pPr>
      <w:r>
        <w:t>•  Cung cấp hồ sơ hiện có, lịch sử thấm nứt/sửa chữa, thông tin hệ thống điện nước và vị trí các phần muốn giữ lại.</w:t>
      </w:r>
    </w:p>
    <w:p>
      <w:pPr>
        <w:ind w:left="259" w:hanging="173"/>
      </w:pPr>
      <w:r>
        <w:t>•  Chỉ định một người tổng hợp quyết định; thống nhất quyền tiếp cận nhà, lịch sinh hoạt hoặc phương án di dời trong vùng thi công.</w:t>
      </w:r>
    </w:p>
    <w:p>
      <w:pPr>
        <w:ind w:left="259" w:hanging="173"/>
      </w:pPr>
      <w:r>
        <w:t>•  Phối hợp ghi nhận hiện trạng tài sản và nhà liên quan; duyệt điểm mở kiểm tra, mẫu và phương án thay đổi theo mốc.</w:t>
      </w:r>
    </w:p>
    <w:p>
      <w:pPr>
        <w:ind w:left="259" w:hanging="173"/>
      </w:pPr>
      <w:r>
        <w:t>•  Phản hồi bằng hình thức có lưu vết, thanh toán theo hợp đồng và tham gia hoặc ủy quyền nghiệm thu.</w:t>
      </w:r>
    </w:p>
    <w:p>
      <w:pPr>
        <w:ind w:left="259" w:hanging="173"/>
      </w:pPr>
      <w:r>
        <w:t>•  Với căn hộ hoặc khu đô thị, cung cấp quy chế và phối hợp thủ tục quản lý cần thiết cho phần việc đã chọn.</w:t>
      </w:r>
    </w:p>
    <w:p>
      <w:pPr>
        <w:pStyle w:val="Eyebrow"/>
      </w:pPr>
      <w:r>
        <w:t>MODULE 11</w:t>
      </w:r>
    </w:p>
    <w:p>
      <w:pPr>
        <w:pStyle w:val="Heading1"/>
      </w:pPr>
      <w:r>
        <w:t>Tiến độ được tính thế nào?</w:t>
      </w:r>
    </w:p>
    <w:p>
      <w:r>
        <w:t>Tiến độ cơ sở chỉ chốt sau khi có đủ khảo sát, hồ sơ cần thiết, phạm vi và khả năng cung ứng. Ngày bắt đầu tính khi hợp đồng/tạm ứng có hiệu lực, mặt bằng được bàn giao, điều kiện tiếp cận và thủ tục cần thiết đã rõ, vật liệu cùng giải pháp kỹ thuật thiết yếu đã được duyệt.</w:t>
      </w:r>
    </w:p>
    <w:tbl>
      <w:tblPr>
        <w:tblW w:type="auto" w:w="0"/>
        <w:jc w:val="center"/>
        <w:tblLayout w:type="fixed"/>
        <w:tblLook w:firstColumn="1" w:firstRow="1" w:lastColumn="0" w:lastRow="0" w:noHBand="0" w:noVBand="1" w:val="04A0"/>
      </w:tblPr>
      <w:tblGrid>
        <w:gridCol w:w="3312"/>
        <w:gridCol w:w="6048"/>
      </w:tblGrid>
      <w:tr>
        <w:trPr>
          <w:tblHeader w:val="true"/>
          <w:cantSplit/>
        </w:trPr>
        <w:tc>
          <w:tcPr>
            <w:tcW w:type="dxa" w:w="3312"/>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Mốc tiến độ</w:t>
            </w:r>
          </w:p>
        </w:tc>
        <w:tc>
          <w:tcPr>
            <w:tcW w:type="dxa" w:w="6048"/>
            <w:vAlign w:val="center"/>
            <w:shd w:fill="18334B"/>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color w:val="FFFFFF"/>
                <w:sz w:val="17"/>
              </w:rPr>
              <w:t>Điều kiện ảnh hưởng</w:t>
            </w:r>
          </w:p>
        </w:tc>
      </w:tr>
      <w:tr>
        <w:trPr>
          <w:cantSplit/>
        </w:trPr>
        <w:tc>
          <w:tcPr>
            <w:tcW w:type="dxa" w:w="3312"/>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Khảo sát và mở kiểm tra</w:t>
            </w:r>
          </w:p>
        </w:tc>
        <w:tc>
          <w:tcPr>
            <w:tcW w:type="dxa" w:w="6048"/>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Số điểm kiểm tra, khả năng tiếp cận, kết quả phần khuất.</w:t>
            </w:r>
          </w:p>
        </w:tc>
      </w:tr>
      <w:tr>
        <w:trPr>
          <w:cantSplit/>
        </w:trPr>
        <w:tc>
          <w:tcPr>
            <w:tcW w:type="dxa" w:w="3312"/>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Thiết kế và chốt vật tư</w:t>
            </w:r>
          </w:p>
        </w:tc>
        <w:tc>
          <w:tcPr>
            <w:tcW w:type="dxa" w:w="6048"/>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Thời gian phản hồi, nhu cầu đổi công năng, mã vật liệu.</w:t>
            </w:r>
          </w:p>
        </w:tc>
      </w:tr>
      <w:tr>
        <w:trPr>
          <w:cantSplit/>
        </w:trPr>
        <w:tc>
          <w:tcPr>
            <w:tcW w:type="dxa" w:w="3312"/>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Tháo dỡ và sửa phần kỹ thuật</w:t>
            </w:r>
          </w:p>
        </w:tc>
        <w:tc>
          <w:tcPr>
            <w:tcW w:type="dxa" w:w="6048"/>
            <w:vAlign w:val="center"/>
            <w:shd w:fill="FFFFFF"/>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Tình trạng thực tế sau bóc mở; phương án xử lý được duyệt.</w:t>
            </w:r>
          </w:p>
        </w:tc>
      </w:tr>
      <w:tr>
        <w:trPr>
          <w:cantSplit/>
        </w:trPr>
        <w:tc>
          <w:tcPr>
            <w:tcW w:type="dxa" w:w="3312"/>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Hoàn thiện và bàn giao</w:t>
            </w:r>
          </w:p>
        </w:tc>
        <w:tc>
          <w:tcPr>
            <w:tcW w:type="dxa" w:w="6048"/>
            <w:vAlign w:val="center"/>
            <w:shd w:fill="F2F5F7"/>
            <w:tcMar>
              <w:top w:w="90" w:type="dxa"/>
              <w:bottom w:w="90" w:type="dxa"/>
              <w:left w:w="105" w:type="dxa"/>
              <w:right w:w="105" w:type="dxa"/>
            </w:tcMar>
            <w:tcBorders>
              <w:top w:val="single" w:sz="4" w:color="D9D9D9"/>
              <w:left w:val="single" w:sz="4" w:color="D9D9D9"/>
              <w:bottom w:val="single" w:sz="4" w:color="D9D9D9"/>
              <w:right w:val="single" w:sz="4" w:color="D9D9D9"/>
            </w:tcBorders>
          </w:tcPr>
          <w:p>
            <w:pPr>
              <w:spacing w:after="0" w:line="257" w:lineRule="auto"/>
            </w:pPr>
            <w:r>
              <w:rPr>
                <w:rFonts w:ascii="Arial" w:hAnsi="Arial"/>
                <w:b w:val="0"/>
                <w:color w:val="000000"/>
                <w:sz w:val="17"/>
              </w:rPr>
              <w:t>Thời gian cung ứng, khu vực đang sử dụng, giờ thi công được phép.</w:t>
            </w:r>
          </w:p>
        </w:tc>
      </w:tr>
    </w:tbl>
    <w:p>
      <w:pPr>
        <w:spacing w:after="0"/>
      </w:pPr>
    </w:p>
    <w:p>
      <w:r>
        <w:t>Mỗi phát hiện làm đổi phạm vi được ghi rõ ảnh hưởng tới đường găng và ngày bàn giao trước khi tiếp tục. Báo cáo mốc trả lời: đã làm gì, đang chờ quyết định gì, công việc tiếp theo và ngày dự kiến cập nhật.</w:t>
      </w:r>
    </w:p>
    <w:p>
      <w:pPr>
        <w:pStyle w:val="Eyebrow"/>
        <w:pageBreakBefore/>
      </w:pPr>
      <w:r>
        <w:t>MODULE 12</w:t>
      </w:r>
    </w:p>
    <w:p>
      <w:pPr>
        <w:pStyle w:val="Heading1"/>
      </w:pPr>
      <w:r>
        <w:t>Chi phí và thanh toán</w:t>
      </w:r>
    </w:p>
    <w:p>
      <w:r>
        <w:t>NAMI khái toán theo phạm vi cải tạo và mức vật liệu đã chọn, sau đó khóa báo giá bằng khảo sát, bản vẽ và khối lượng. Nếu dùng đơn giá/m² để định hướng đầu tư, báo giá phải nêu rõ diện tích, hạng mục và điều kiện nền áp dụng.</w:t>
      </w:r>
    </w:p>
    <w:tbl>
      <w:tblPr>
        <w:tblW w:type="auto" w:w="0"/>
        <w:jc w:val="center"/>
        <w:tblLayout w:type="fixed"/>
        <w:tblLook w:firstColumn="1" w:firstRow="1" w:lastColumn="0" w:lastRow="0" w:noHBand="0" w:noVBand="1" w:val="04A0"/>
      </w:tblPr>
      <w:tblGrid>
        <w:gridCol w:w="3154"/>
        <w:gridCol w:w="3154"/>
        <w:gridCol w:w="3154"/>
      </w:tblGrid>
      <w:tr>
        <w:trPr>
          <w:cantSplit/>
          <w:tblHeader/>
        </w:trPr>
        <w:tc>
          <w:tcPr>
            <w:tcW w:type="dxa" w:w="2088"/>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Dòng chi phí</w:t>
            </w:r>
          </w:p>
        </w:tc>
        <w:tc>
          <w:tcPr>
            <w:tcW w:type="dxa" w:w="3672"/>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Căn cứ</w:t>
            </w:r>
          </w:p>
        </w:tc>
        <w:tc>
          <w:tcPr>
            <w:tcW w:type="dxa" w:w="3600"/>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Cách xác nhận</w:t>
            </w:r>
          </w:p>
        </w:tc>
      </w:tr>
      <w:tr>
        <w:trPr>
          <w:cantSplit/>
        </w:trPr>
        <w:tc>
          <w:tcPr>
            <w:tcW w:type="dxa" w:w="208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1. Công việc đã rõ</w:t>
            </w:r>
          </w:p>
        </w:tc>
        <w:tc>
          <w:tcPr>
            <w:tcW w:type="dxa" w:w="3672"/>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Khối lượng khảo sát, giải pháp, vật liệu/model và điều kiện thi công.</w:t>
            </w:r>
          </w:p>
        </w:tc>
        <w:tc>
          <w:tcPr>
            <w:tcW w:type="dxa" w:w="3600"/>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Giá hợp đồng cho phạm vi đủ cơ sở.</w:t>
            </w:r>
          </w:p>
        </w:tc>
      </w:tr>
      <w:tr>
        <w:trPr>
          <w:cantSplit/>
        </w:trPr>
        <w:tc>
          <w:tcPr>
            <w:tcW w:type="dxa" w:w="208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2. Công việc tạm tính</w:t>
            </w:r>
          </w:p>
        </w:tc>
        <w:tc>
          <w:tcPr>
            <w:tcW w:type="dxa" w:w="3672"/>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Khối lượng/điều kiện chỉ xác định sau mở kiểm tra.</w:t>
            </w:r>
          </w:p>
        </w:tc>
        <w:tc>
          <w:tcPr>
            <w:tcW w:type="dxa" w:w="3600"/>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Ghi giả định, đơn giá/cách định giá và mốc đo lại.</w:t>
            </w:r>
          </w:p>
        </w:tc>
      </w:tr>
      <w:tr>
        <w:trPr>
          <w:cantSplit/>
        </w:trPr>
        <w:tc>
          <w:tcPr>
            <w:tcW w:type="dxa" w:w="208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3. Tùy chọn nâng cấp</w:t>
            </w:r>
          </w:p>
        </w:tc>
        <w:tc>
          <w:tcPr>
            <w:tcW w:type="dxa" w:w="3672"/>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Vật liệu, thiết bị hoặc hạng mục chọn thêm.</w:t>
            </w:r>
          </w:p>
        </w:tc>
        <w:tc>
          <w:tcPr>
            <w:tcW w:type="dxa" w:w="3600"/>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Đối chiếu phần gói cơ sở và phần chênh lệch.</w:t>
            </w:r>
          </w:p>
        </w:tc>
      </w:tr>
      <w:tr>
        <w:trPr>
          <w:cantSplit/>
        </w:trPr>
        <w:tc>
          <w:tcPr>
            <w:tcW w:type="dxa" w:w="208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4. Dự phòng chủ nhà</w:t>
            </w:r>
          </w:p>
        </w:tc>
        <w:tc>
          <w:tcPr>
            <w:tcW w:type="dxa" w:w="3672"/>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Khoản giữ để ứng phó điều kiện chưa xác định.</w:t>
            </w:r>
          </w:p>
        </w:tc>
        <w:tc>
          <w:tcPr>
            <w:tcW w:type="dxa" w:w="3600"/>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Chỉ dùng theo phát sinh đã duyệt; không mặc định thuộc giá hợp đồng.</w:t>
            </w:r>
          </w:p>
        </w:tc>
      </w:tr>
    </w:tbl>
    <w:p>
      <w:pPr>
        <w:spacing w:after="20"/>
      </w:pPr>
    </w:p>
    <w:p>
      <w:r>
        <w:t>Chênh lệch khi đổi vật liệu gồm giá trị phần bổ sung trừ giá trị phần được bỏ hoặc hoàn trả theo thỏa thuận, cộng chi phí thực tế có căn cứ như gia công, nhân công, hao hụt, vận chuyển nếu phát sinh. Báo giá ghi rõ cơ sở đơn giá, thuế và hiệu lực.</w:t>
      </w:r>
    </w:p>
    <w:p>
      <w:r>
        <w:t>Thanh toán gắn với kết quả có thể kiểm chứng: chuẩn bị/mua hàng theo hợp đồng, sửa phần kỹ thuật và nghiệm thu trước che phủ, hoàn thiện, bàn giao. Số đợt, tỷ lệ, thời hạn và cách đối chiếu phần tạm tính được chốt riêng cho công trình.</w:t>
      </w:r>
    </w:p>
    <w:p>
      <w:pPr>
        <w:pStyle w:val="Eyebrow"/>
      </w:pPr>
      <w:r>
        <w:t>MODULE 13</w:t>
      </w:r>
    </w:p>
    <w:p>
      <w:pPr>
        <w:pStyle w:val="Heading1"/>
      </w:pPr>
      <w:r>
        <w:t>Thay đổi vật liệu và xử lý phát hiện mới</w:t>
      </w:r>
    </w:p>
    <w:p>
      <w:pPr>
        <w:keepNext/>
      </w:pPr>
      <w:r>
        <w:t>Ghi nhận yêu cầu/phát hiện → Kiểm tra nguyên nhân và phạm vi → Báo giải pháp, khối lượng, chi phí và thời gian → Anh/Chị xác nhận → Thi công phần thay đổi.</w:t>
      </w:r>
    </w:p>
    <w:tbl>
      <w:tblPr>
        <w:tblW w:type="auto" w:w="0"/>
        <w:jc w:val="center"/>
        <w:tblLayout w:type="fixed"/>
        <w:tblLook w:firstColumn="1" w:firstRow="1" w:lastColumn="0" w:lastRow="0" w:noHBand="0" w:noVBand="1" w:val="04A0"/>
      </w:tblPr>
      <w:tblGrid>
        <w:gridCol w:w="4730"/>
        <w:gridCol w:w="4730"/>
      </w:tblGrid>
      <w:tr>
        <w:trPr>
          <w:cantSplit/>
          <w:tblHeader/>
        </w:trPr>
        <w:tc>
          <w:tcPr>
            <w:tcW w:type="dxa" w:w="2952"/>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Tình huống</w:t>
            </w:r>
          </w:p>
        </w:tc>
        <w:tc>
          <w:tcPr>
            <w:tcW w:type="dxa" w:w="6408"/>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Cách xử lý</w:t>
            </w:r>
          </w:p>
        </w:tc>
      </w:tr>
      <w:tr>
        <w:trPr>
          <w:cantSplit/>
        </w:trPr>
        <w:tc>
          <w:tcPr>
            <w:tcW w:type="dxa" w:w="2952"/>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Nền hoặc hệ âm khác khảo sát</w:t>
            </w:r>
          </w:p>
        </w:tc>
        <w:tc>
          <w:tcPr>
            <w:tcW w:type="dxa" w:w="640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Chụp ảnh, ghi giả định bị thay đổi, phương án xử lý và phần chi phí cần chốt.</w:t>
            </w:r>
          </w:p>
        </w:tc>
      </w:tr>
      <w:tr>
        <w:trPr>
          <w:cantSplit/>
        </w:trPr>
        <w:tc>
          <w:tcPr>
            <w:tcW w:type="dxa" w:w="2952"/>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Đổi vật liệu trước đặt hàng</w:t>
            </w:r>
          </w:p>
        </w:tc>
        <w:tc>
          <w:tcPr>
            <w:tcW w:type="dxa" w:w="640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Chốt mã mới, phần chênh lệch và thời điểm cung ứng.</w:t>
            </w:r>
          </w:p>
        </w:tc>
      </w:tr>
      <w:tr>
        <w:trPr>
          <w:cantSplit/>
        </w:trPr>
        <w:tc>
          <w:tcPr>
            <w:tcW w:type="dxa" w:w="2952"/>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Đổi sau đặt hàng/thi công</w:t>
            </w:r>
          </w:p>
        </w:tc>
        <w:tc>
          <w:tcPr>
            <w:tcW w:type="dxa" w:w="640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Đối chiếu hàng hoàn trả được, công đã làm, gia công/vận chuyển và lịch mới.</w:t>
            </w:r>
          </w:p>
        </w:tc>
      </w:tr>
      <w:tr>
        <w:trPr>
          <w:cantSplit/>
        </w:trPr>
        <w:tc>
          <w:tcPr>
            <w:tcW w:type="dxa" w:w="2952"/>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Mẫu ngừng bán hoặc hết hàng</w:t>
            </w:r>
          </w:p>
        </w:tc>
        <w:tc>
          <w:tcPr>
            <w:tcW w:type="dxa" w:w="640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Đề xuất mẫu thay thế, so thông số và giá; chỉ đặt sau xác nhận.</w:t>
            </w:r>
          </w:p>
        </w:tc>
      </w:tr>
      <w:tr>
        <w:trPr>
          <w:cantSplit/>
        </w:trPr>
        <w:tc>
          <w:tcPr>
            <w:tcW w:type="dxa" w:w="2952"/>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Tiếp giáp vật liệu cũ mới</w:t>
            </w:r>
          </w:p>
        </w:tc>
        <w:tc>
          <w:tcPr>
            <w:tcW w:type="dxa" w:w="640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Thống nhất mẫu và vùng sửa; làm rõ khả năng khác màu, mạch hoặc độ đồng nhất trước làm.</w:t>
            </w:r>
          </w:p>
        </w:tc>
      </w:tr>
    </w:tbl>
    <w:p>
      <w:pPr>
        <w:spacing w:after="20"/>
      </w:pPr>
    </w:p>
    <w:p>
      <w:r>
        <w:t>NAMI không tự ý thi công phần phát sinh có tính phí trước khi được xác nhận. Nếu có nguy cơ an toàn, NAMI dừng phần liên quan, bảo vệ hiện trạng và liên hệ đầu mối quyết định, lập hồ sơ theo hợp đồng.</w:t>
      </w:r>
    </w:p>
    <w:p>
      <w:pPr>
        <w:pStyle w:val="Eyebrow"/>
        <w:pageBreakBefore/>
      </w:pPr>
      <w:r>
        <w:t>MODULE 14</w:t>
      </w:r>
    </w:p>
    <w:p>
      <w:pPr>
        <w:pStyle w:val="Heading1"/>
      </w:pPr>
      <w:r>
        <w:t>Bàn giao bảo hành và bước tiếp theo</w:t>
      </w:r>
    </w:p>
    <w:tbl>
      <w:tblPr>
        <w:tblW w:type="auto" w:w="0"/>
        <w:jc w:val="center"/>
        <w:tblLayout w:type="fixed"/>
        <w:tblLook w:firstColumn="1" w:firstRow="1" w:lastColumn="0" w:lastRow="0" w:noHBand="0" w:noVBand="1" w:val="04A0"/>
      </w:tblPr>
      <w:tblGrid>
        <w:gridCol w:w="4730"/>
        <w:gridCol w:w="4730"/>
      </w:tblGrid>
      <w:tr>
        <w:trPr>
          <w:cantSplit/>
          <w:tblHeader/>
        </w:trPr>
        <w:tc>
          <w:tcPr>
            <w:tcW w:type="dxa" w:w="2232"/>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Nội dung</w:t>
            </w:r>
          </w:p>
        </w:tc>
        <w:tc>
          <w:tcPr>
            <w:tcW w:type="dxa" w:w="7128"/>
            <w:vAlign w:val="center"/>
            <w:shd w:fill="18334B"/>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color w:val="FFFFFF"/>
                <w:sz w:val="17"/>
              </w:rPr>
              <w:t>Anh/Chị nhận được</w:t>
            </w:r>
          </w:p>
        </w:tc>
      </w:tr>
      <w:tr>
        <w:trPr>
          <w:cantSplit/>
        </w:trPr>
        <w:tc>
          <w:tcPr>
            <w:tcW w:type="dxa" w:w="2232"/>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Công trình</w:t>
            </w:r>
          </w:p>
        </w:tc>
        <w:tc>
          <w:tcPr>
            <w:tcW w:type="dxa" w:w="712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Hạng mục theo hồ sơ, phụ lục vật liệu và thay đổi đã duyệt.</w:t>
            </w:r>
          </w:p>
        </w:tc>
      </w:tr>
      <w:tr>
        <w:trPr>
          <w:cantSplit/>
        </w:trPr>
        <w:tc>
          <w:tcPr>
            <w:tcW w:type="dxa" w:w="2232"/>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Nghiệm thu</w:t>
            </w:r>
          </w:p>
        </w:tc>
        <w:tc>
          <w:tcPr>
            <w:tcW w:type="dxa" w:w="712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Biên bản theo cổng, danh sách tồn tại, người xử lý và thời hạn được thống nhất.</w:t>
            </w:r>
          </w:p>
        </w:tc>
      </w:tr>
      <w:tr>
        <w:trPr>
          <w:cantSplit/>
        </w:trPr>
        <w:tc>
          <w:tcPr>
            <w:tcW w:type="dxa" w:w="2232"/>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Vật tư và phần khuất</w:t>
            </w:r>
          </w:p>
        </w:tc>
        <w:tc>
          <w:tcPr>
            <w:tcW w:type="dxa" w:w="712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Danh mục vật liệu/model thực tế, phiếu hãng nếu có, ảnh tuyến và kết quả thử trong phạm vi.</w:t>
            </w:r>
          </w:p>
        </w:tc>
      </w:tr>
      <w:tr>
        <w:trPr>
          <w:cantSplit/>
        </w:trPr>
        <w:tc>
          <w:tcPr>
            <w:tcW w:type="dxa" w:w="2232"/>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Tài chính</w:t>
            </w:r>
          </w:p>
        </w:tc>
        <w:tc>
          <w:tcPr>
            <w:tcW w:type="dxa" w:w="7128"/>
            <w:vAlign w:val="center"/>
            <w:shd w:fill="F2F5F7"/>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Đối chiếu giá hợp đồng, khối lượng tạm tính đã xác nhận và phát sinh được duyệt.</w:t>
            </w:r>
          </w:p>
        </w:tc>
      </w:tr>
      <w:tr>
        <w:trPr>
          <w:cantSplit/>
        </w:trPr>
        <w:tc>
          <w:tcPr>
            <w:tcW w:type="dxa" w:w="2232"/>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Bảo hành</w:t>
            </w:r>
          </w:p>
        </w:tc>
        <w:tc>
          <w:tcPr>
            <w:tcW w:type="dxa" w:w="7128"/>
            <w:vAlign w:val="center"/>
            <w:shd w:fill="FFFFFF"/>
            <w:tcMar>
              <w:top w:w="90" w:type="dxa"/>
              <w:bottom w:w="90" w:type="dxa"/>
              <w:left w:w="100" w:type="dxa"/>
              <w:right w:w="100" w:type="dxa"/>
            </w:tcMar>
            <w:tcBorders>
              <w:top w:val="single" w:sz="4" w:color="D9D9D9"/>
              <w:bottom w:val="single" w:sz="4" w:color="D9D9D9"/>
              <w:left w:val="single" w:sz="4" w:color="D9D9D9"/>
              <w:right w:val="single" w:sz="4" w:color="D9D9D9"/>
            </w:tcBorders>
          </w:tcPr>
          <w:p>
            <w:pPr>
              <w:spacing w:after="0" w:line="259" w:lineRule="auto"/>
            </w:pPr>
            <w:r>
              <w:rPr>
                <w:rFonts w:ascii="Arial" w:hAnsi="Arial"/>
                <w:b w:val="0"/>
                <w:color w:val="000000"/>
                <w:sz w:val="17"/>
              </w:rPr>
              <w:t>Thời hạn, hạng mục, đầu mối và cách tiếp nhận theo hợp đồng; phần giữ lại và giới hạn khảo sát được ghi nhận riêng.</w:t>
            </w:r>
          </w:p>
        </w:tc>
      </w:tr>
    </w:tbl>
    <w:p>
      <w:pPr>
        <w:spacing w:after="20"/>
      </w:pPr>
    </w:p>
    <w:p>
      <w:r>
        <w:t>Phạm vi bảo hành phân biệt phần NAMI thi công, thiết bị theo chính sách hãng và phần cũ giữ lại. Khi có sự cố tại chỗ đấu nối hoặc tiếp giáp cũ mới, hai bên kiểm tra nguyên nhân và trách nhiệm theo hồ sơ, không tự động quy toàn bộ lỗi cho phần cũ.</w:t>
      </w:r>
    </w:p>
    <w:p>
      <w:pPr>
        <w:pStyle w:val="Lead"/>
      </w:pPr>
      <w:r>
        <w:t>BƯỚC TIẾP THEO: Gửi 5 thông tin: vị trí/loại nhà; diện tích, số tầng và năm sử dụng nếu biết; ảnh/video hiện trạng; phần muốn giữ, sửa hoặc thay cùng thời điểm cần dùng; khoảng ngân sách. NAMI đề xuất khảo sát, phạm vi và mức vật liệu phù hợp trước khi chốt báo giá.</w:t>
      </w:r>
    </w:p>
    <w:p>
      <w:pPr>
        <w:pStyle w:val="Small"/>
      </w:pPr>
      <w:r>
        <w:t>NAMI DESIGN  |  Làm đúng ngay từ đầu  |  0353 225 225  |  namidesign.vn</w:t>
      </w:r>
    </w:p>
    <w:p>
      <w:pPr>
        <w:pStyle w:val="Small"/>
      </w:pPr>
      <w:r>
        <w:t>Phạm vi, thương hiệu, mã, quy cách, hạn mức, khối lượng, giá, thuế, tiến độ và bảo hành cuối cùng được xác định trong hồ sơ, báo giá, hợp đồng và phụ lục của công trình.</w:t>
      </w:r>
    </w:p>
    <w:sectPr w:rsidR="00FC693F" w:rsidRPr="0006063C" w:rsidSect="00034616">
      <w:headerReference w:type="default" r:id="rId9"/>
      <w:footerReference w:type="default" r:id="rId10"/>
      <w:pgSz w:w="11909" w:h="16834"/>
      <w:pgMar w:top="1080" w:right="1181" w:bottom="1037" w:left="1267"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 xml:space="preserve">Tài liệu giới thiệu dịch vụ dành cho khách hàng  |  V1.1  |  01/10/2026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000000"/>
        <w:sz w:val="15"/>
      </w:rPr>
      <w:t>NAMI DESIGN  |  CẢI TẠO NHÀ Ở</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120"/>
    </w:pPr>
    <w:rPr>
      <w:rFonts w:ascii="Arial" w:hAnsi="Arial"/>
      <w:b/>
      <w:color w:val="000000"/>
      <w:sz w:val="20"/>
    </w:rPr>
  </w:style>
  <w:style w:type="paragraph" w:customStyle="1" w:styleId="Small">
    <w:name w:val="Small"/>
    <w:pPr>
      <w:spacing w:after="80"/>
    </w:pPr>
    <w:rPr>
      <w:rFonts w:ascii="Arial" w:hAnsi="Arial"/>
      <w:color w:val="000000"/>
      <w:sz w:val="16"/>
    </w:rPr>
  </w:style>
  <w:style w:type="paragraph" w:customStyle="1" w:styleId="Eyebrow">
    <w:name w:val="Eyebrow"/>
    <w:pPr>
      <w:keepNext/>
      <w:spacing w:before="200" w:after="20"/>
    </w:pPr>
    <w:rPr>
      <w:rFonts w:ascii="Arial" w:hAnsi="Arial"/>
      <w:b/>
      <w:color w:val="00000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Dịch vụ cải tạo nhà ở NAMI phiên bản 1.1</dc:title>
  <dc:subject/>
  <dc:creator>NAMI Design</dc:creator>
  <cp:keywords/>
  <dc:description>generated by python-docx</dc:description>
  <cp:lastModifiedBy/>
  <cp:revision>1</cp:revision>
  <dcterms:created xsi:type="dcterms:W3CDTF">2013-12-23T23:15:00Z</dcterms:created>
  <dcterms:modified xsi:type="dcterms:W3CDTF">2013-12-23T23:15:00Z</dcterms:modified>
  <cp:category/>
</cp:coreProperties>
</file>